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BF3A23" w:rsidRPr="00BF3A23" w:rsidRDefault="00BF3A23" w:rsidP="00BF3A2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3A23">
        <w:rPr>
          <w:rFonts w:ascii="Times New Roman" w:eastAsia="Times New Roman" w:hAnsi="Times New Roman" w:cs="Times New Roman"/>
          <w:b/>
          <w:sz w:val="24"/>
          <w:szCs w:val="24"/>
        </w:rPr>
        <w:t>53.02.06 Хоровое дирижирование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BC022C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 01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963145">
        <w:rPr>
          <w:rFonts w:ascii="Times New Roman" w:hAnsi="Times New Roman" w:cs="Times New Roman"/>
          <w:bCs/>
          <w:sz w:val="28"/>
          <w:szCs w:val="28"/>
        </w:rPr>
        <w:t>2</w:t>
      </w:r>
      <w:r w:rsidR="00944A31">
        <w:rPr>
          <w:rFonts w:ascii="Times New Roman" w:hAnsi="Times New Roman" w:cs="Times New Roman"/>
          <w:bCs/>
          <w:sz w:val="28"/>
          <w:szCs w:val="28"/>
        </w:rPr>
        <w:t>4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BF3A23" w:rsidRDefault="00837435" w:rsidP="00837435">
      <w:pPr>
        <w:pStyle w:val="aa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F3A23">
        <w:rPr>
          <w:rFonts w:ascii="Times New Roman" w:hAnsi="Times New Roman"/>
        </w:rPr>
        <w:lastRenderedPageBreak/>
        <w:t>Рабочая пр</w:t>
      </w:r>
      <w:r w:rsidR="00397E0B" w:rsidRPr="00BF3A23">
        <w:rPr>
          <w:rFonts w:ascii="Times New Roman" w:hAnsi="Times New Roman"/>
        </w:rPr>
        <w:t xml:space="preserve">ограмма учебной дисциплины </w:t>
      </w:r>
      <w:r w:rsidR="00BC022C" w:rsidRPr="00BF3A23">
        <w:rPr>
          <w:rFonts w:ascii="Times New Roman" w:hAnsi="Times New Roman"/>
        </w:rPr>
        <w:t>ПУП 01</w:t>
      </w:r>
      <w:r w:rsidRPr="00BF3A23">
        <w:rPr>
          <w:rFonts w:ascii="Times New Roman" w:hAnsi="Times New Roman"/>
        </w:rPr>
        <w:t xml:space="preserve">.  </w:t>
      </w:r>
      <w:r w:rsidR="00397E0B" w:rsidRPr="00BF3A23">
        <w:rPr>
          <w:rFonts w:ascii="Times New Roman" w:hAnsi="Times New Roman"/>
        </w:rPr>
        <w:t>История мировой культуры,</w:t>
      </w:r>
      <w:r w:rsidRPr="00BF3A23">
        <w:rPr>
          <w:rFonts w:ascii="Times New Roman" w:hAnsi="Times New Roman"/>
        </w:rPr>
        <w:t xml:space="preserve"> составлена в соответствии с ФГОС СПО по профессии/специальности </w:t>
      </w:r>
      <w:r w:rsidR="00BF3A23" w:rsidRPr="00BF3A23">
        <w:rPr>
          <w:rFonts w:ascii="Times New Roman" w:eastAsia="Times New Roman" w:hAnsi="Times New Roman"/>
          <w:sz w:val="24"/>
          <w:szCs w:val="24"/>
        </w:rPr>
        <w:t>53.02.06 Хоровое дирижирование, утвержденным приказом Министерства образования и науки Российской Федерации от 27 октября 2014 г. №1390 (Приказ №253 от 17 мая 2021 о внесении изменений в ФГОС</w:t>
      </w:r>
      <w:r w:rsidR="00BF3A23" w:rsidRPr="00BF3A23">
        <w:rPr>
          <w:rFonts w:ascii="Times New Roman" w:eastAsia="Times New Roman" w:hAnsi="Times New Roman"/>
          <w:sz w:val="24"/>
          <w:szCs w:val="24"/>
        </w:rPr>
        <w:t>)</w:t>
      </w:r>
      <w:r w:rsidR="00BC022C" w:rsidRPr="00BF3A23">
        <w:rPr>
          <w:rFonts w:ascii="Times New Roman" w:hAnsi="Times New Roman"/>
        </w:rPr>
        <w:t xml:space="preserve"> и </w:t>
      </w:r>
      <w:r w:rsidRPr="00BF3A23">
        <w:rPr>
          <w:rFonts w:ascii="Times New Roman" w:hAnsi="Times New Roman"/>
          <w:color w:val="333333"/>
          <w:shd w:val="clear" w:color="auto" w:fill="FFFFFF"/>
        </w:rPr>
        <w:t>на основании примерной программы</w:t>
      </w:r>
      <w:r w:rsidRPr="00BF3A23">
        <w:rPr>
          <w:rFonts w:ascii="Times New Roman" w:hAnsi="Times New Roman"/>
        </w:rPr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963145">
        <w:rPr>
          <w:rFonts w:ascii="Times New Roman" w:hAnsi="Times New Roman" w:cs="Times New Roman"/>
          <w:sz w:val="24"/>
          <w:szCs w:val="24"/>
        </w:rPr>
        <w:t>кол № ___ от «____» _</w:t>
      </w:r>
      <w:r w:rsidR="00BC022C">
        <w:rPr>
          <w:rFonts w:ascii="Times New Roman" w:hAnsi="Times New Roman" w:cs="Times New Roman"/>
          <w:sz w:val="24"/>
          <w:szCs w:val="24"/>
        </w:rPr>
        <w:t>июня</w:t>
      </w:r>
      <w:r w:rsidR="00963145">
        <w:rPr>
          <w:rFonts w:ascii="Times New Roman" w:hAnsi="Times New Roman" w:cs="Times New Roman"/>
          <w:sz w:val="24"/>
          <w:szCs w:val="24"/>
        </w:rPr>
        <w:t>______ 202</w:t>
      </w:r>
      <w:r w:rsidR="00944A31">
        <w:rPr>
          <w:rFonts w:ascii="Times New Roman" w:hAnsi="Times New Roman" w:cs="Times New Roman"/>
          <w:sz w:val="24"/>
          <w:szCs w:val="24"/>
        </w:rPr>
        <w:t>4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______________/Би</w:t>
      </w:r>
      <w:r w:rsidR="00FF03AF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FF03AF">
        <w:rPr>
          <w:rFonts w:ascii="Times New Roman" w:hAnsi="Times New Roman" w:cs="Times New Roman"/>
          <w:sz w:val="24"/>
          <w:szCs w:val="24"/>
        </w:rPr>
        <w:t>а</w:t>
      </w:r>
      <w:r w:rsidRPr="00837435">
        <w:rPr>
          <w:rFonts w:ascii="Times New Roman" w:hAnsi="Times New Roman" w:cs="Times New Roman"/>
          <w:sz w:val="24"/>
          <w:szCs w:val="24"/>
        </w:rPr>
        <w:t xml:space="preserve">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9F2978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r w:rsidR="00AA3781" w:rsidRPr="00B13AAE">
        <w:rPr>
          <w:rFonts w:ascii="Times New Roman" w:hAnsi="Times New Roman"/>
          <w:b/>
          <w:sz w:val="24"/>
          <w:szCs w:val="24"/>
        </w:rPr>
        <w:t>.01.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F3A23" w:rsidRDefault="00AA3781" w:rsidP="00BF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BC022C" w:rsidRPr="00BC022C">
        <w:t xml:space="preserve"> </w:t>
      </w:r>
      <w:r w:rsidR="00BF3A23" w:rsidRPr="00BF3A23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BF3A23">
        <w:rPr>
          <w:rFonts w:ascii="Times New Roman" w:hAnsi="Times New Roman" w:cs="Times New Roman"/>
          <w:sz w:val="24"/>
          <w:szCs w:val="24"/>
        </w:rPr>
        <w:t>.</w:t>
      </w:r>
      <w:r w:rsidR="00BF3A23" w:rsidRPr="00BF3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Pr="00B13AAE" w:rsidRDefault="00AA3781" w:rsidP="00BF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578"/>
      </w:tblGrid>
      <w:tr w:rsidR="00BF3A23" w:rsidRPr="007573A3" w:rsidTr="007234F5">
        <w:tc>
          <w:tcPr>
            <w:tcW w:w="2694" w:type="dxa"/>
            <w:vMerge w:val="restart"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Требование ФГОС СПО</w:t>
            </w:r>
          </w:p>
        </w:tc>
        <w:tc>
          <w:tcPr>
            <w:tcW w:w="6578" w:type="dxa"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BF3A23" w:rsidRPr="007573A3" w:rsidTr="007234F5">
        <w:tc>
          <w:tcPr>
            <w:tcW w:w="2694" w:type="dxa"/>
            <w:vMerge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</w:tcPr>
          <w:p w:rsidR="00BF3A23" w:rsidRPr="007573A3" w:rsidRDefault="00BF3A23" w:rsidP="00723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BF3A23" w:rsidRPr="007573A3" w:rsidRDefault="00BF3A23" w:rsidP="007234F5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BF3A23" w:rsidRPr="007573A3" w:rsidRDefault="00BF3A23" w:rsidP="007234F5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BF3A23" w:rsidRPr="007573A3" w:rsidRDefault="00BF3A23" w:rsidP="007234F5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BF3A23" w:rsidRPr="007573A3" w:rsidRDefault="00BF3A23" w:rsidP="00723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BF3A23" w:rsidRPr="007573A3" w:rsidTr="007234F5">
        <w:tc>
          <w:tcPr>
            <w:tcW w:w="2694" w:type="dxa"/>
            <w:vMerge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</w:tcPr>
          <w:p w:rsidR="00BF3A23" w:rsidRPr="007573A3" w:rsidRDefault="00BF3A23" w:rsidP="00723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BF3A23" w:rsidRPr="007573A3" w:rsidRDefault="00BF3A23" w:rsidP="007234F5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BF3A23" w:rsidRPr="007573A3" w:rsidRDefault="00BF3A23" w:rsidP="007234F5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BF3A23" w:rsidRPr="007573A3" w:rsidRDefault="00BF3A23" w:rsidP="007234F5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BF3A23" w:rsidRPr="007573A3" w:rsidRDefault="00BF3A23" w:rsidP="007234F5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BF3A23" w:rsidRPr="007573A3" w:rsidRDefault="00BF3A23" w:rsidP="007234F5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BF3A23" w:rsidRPr="007573A3" w:rsidRDefault="00BF3A23" w:rsidP="007234F5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BF3A23" w:rsidRPr="007573A3" w:rsidRDefault="00BF3A23" w:rsidP="00723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A23" w:rsidRPr="007573A3" w:rsidTr="007234F5">
        <w:trPr>
          <w:trHeight w:val="841"/>
        </w:trPr>
        <w:tc>
          <w:tcPr>
            <w:tcW w:w="2694" w:type="dxa"/>
            <w:vMerge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</w:tcPr>
          <w:p w:rsidR="00BF3A23" w:rsidRPr="00BC022C" w:rsidRDefault="00BF3A23" w:rsidP="007234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22C">
              <w:rPr>
                <w:rFonts w:ascii="Times New Roman" w:hAnsi="Times New Roman" w:cs="Times New Roman"/>
              </w:rPr>
              <w:t>Обладать ПК, ОК: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ОК 10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BF3A23" w:rsidRPr="00BC022C" w:rsidRDefault="00BF3A23" w:rsidP="007234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8" w:history="1">
              <w:r w:rsidRPr="00BD3F32">
                <w:rPr>
                  <w:rFonts w:ascii="Times New Roman" w:hAnsi="Times New Roman" w:cs="Times New Roman"/>
                  <w:sz w:val="22"/>
                  <w:szCs w:val="22"/>
                </w:rPr>
                <w:t>Приказа</w:t>
              </w:r>
            </w:hyperlink>
            <w:r w:rsidRPr="00BD3F32">
              <w:t xml:space="preserve">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Минпросвещения России от 17.05.2021 N 253)</w:t>
            </w:r>
          </w:p>
        </w:tc>
      </w:tr>
      <w:tr w:rsidR="00BF3A23" w:rsidRPr="007573A3" w:rsidTr="007234F5">
        <w:trPr>
          <w:trHeight w:val="841"/>
        </w:trPr>
        <w:tc>
          <w:tcPr>
            <w:tcW w:w="2694" w:type="dxa"/>
          </w:tcPr>
          <w:p w:rsidR="00BF3A23" w:rsidRPr="007573A3" w:rsidRDefault="00BF3A23" w:rsidP="007234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6578" w:type="dxa"/>
          </w:tcPr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1.3. Осваивать сольный, ансамблевый, оркестровый исполнительский репертуар.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1.8. Создавать концертно-тематические программы с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специфики восприятия слушателей различных возрастных групп.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2.4. Осваивать основной учебно-педагогический репертуар.</w:t>
            </w:r>
          </w:p>
          <w:p w:rsidR="00BF3A23" w:rsidRPr="00BC022C" w:rsidRDefault="00BF3A23" w:rsidP="007234F5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2.8. Владеть культурой устной и письменной речи, профессиональной терминологией.</w:t>
            </w:r>
          </w:p>
          <w:p w:rsidR="00BF3A23" w:rsidRPr="00BC022C" w:rsidRDefault="00BF3A23" w:rsidP="007234F5">
            <w:pPr>
              <w:pStyle w:val="27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9F2978">
        <w:rPr>
          <w:rFonts w:ascii="Times New Roman" w:hAnsi="Times New Roman" w:cs="Times New Roman"/>
          <w:sz w:val="24"/>
          <w:szCs w:val="24"/>
        </w:rPr>
        <w:t xml:space="preserve"> </w:t>
      </w:r>
      <w:r w:rsidR="00BE1964">
        <w:rPr>
          <w:rFonts w:ascii="Times New Roman" w:hAnsi="Times New Roman" w:cs="Times New Roman"/>
          <w:sz w:val="24"/>
          <w:szCs w:val="24"/>
        </w:rPr>
        <w:t>2</w:t>
      </w:r>
      <w:r w:rsidR="00BF3A23">
        <w:rPr>
          <w:rFonts w:ascii="Times New Roman" w:hAnsi="Times New Roman" w:cs="Times New Roman"/>
          <w:sz w:val="24"/>
          <w:szCs w:val="24"/>
        </w:rPr>
        <w:t>34</w:t>
      </w:r>
      <w:r w:rsidR="00BE1964">
        <w:rPr>
          <w:rFonts w:ascii="Times New Roman" w:hAnsi="Times New Roman" w:cs="Times New Roman"/>
          <w:sz w:val="24"/>
          <w:szCs w:val="24"/>
        </w:rPr>
        <w:t xml:space="preserve"> 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9F2978">
        <w:rPr>
          <w:rFonts w:ascii="Times New Roman" w:hAnsi="Times New Roman" w:cs="Times New Roman"/>
          <w:sz w:val="24"/>
          <w:szCs w:val="24"/>
        </w:rPr>
        <w:t>а</w:t>
      </w:r>
      <w:r w:rsidRPr="00412FF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9F2978">
        <w:rPr>
          <w:rFonts w:ascii="Times New Roman" w:hAnsi="Times New Roman" w:cs="Times New Roman"/>
          <w:sz w:val="24"/>
          <w:szCs w:val="24"/>
        </w:rPr>
        <w:t xml:space="preserve"> 1</w:t>
      </w:r>
      <w:r w:rsidR="00BF3A23">
        <w:rPr>
          <w:rFonts w:ascii="Times New Roman" w:hAnsi="Times New Roman" w:cs="Times New Roman"/>
          <w:sz w:val="24"/>
          <w:szCs w:val="24"/>
        </w:rPr>
        <w:t xml:space="preserve">48 </w:t>
      </w:r>
      <w:bookmarkStart w:id="0" w:name="_GoBack"/>
      <w:bookmarkEnd w:id="0"/>
      <w:r w:rsidRPr="00412FFC">
        <w:rPr>
          <w:rFonts w:ascii="Times New Roman" w:hAnsi="Times New Roman" w:cs="Times New Roman"/>
          <w:sz w:val="24"/>
          <w:szCs w:val="24"/>
        </w:rPr>
        <w:t>часов;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9F2978">
        <w:rPr>
          <w:rFonts w:ascii="Times New Roman" w:hAnsi="Times New Roman" w:cs="Times New Roman"/>
          <w:sz w:val="24"/>
          <w:szCs w:val="24"/>
        </w:rPr>
        <w:t>86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49"/>
        <w:gridCol w:w="2523"/>
      </w:tblGrid>
      <w:tr w:rsidR="00AA3781" w:rsidRPr="00412FFC" w:rsidTr="00AA3781">
        <w:trPr>
          <w:trHeight w:val="430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A3781" w:rsidRPr="00412FFC" w:rsidTr="00AA3781">
        <w:trPr>
          <w:trHeight w:val="267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944A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44A3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944A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44A31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944A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44A31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9F2978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</w:p>
        </w:tc>
      </w:tr>
      <w:tr w:rsidR="00AA3781" w:rsidRPr="00412FFC" w:rsidTr="00AA3781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A3781" w:rsidRPr="00412FFC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A3781" w:rsidRDefault="00AA3781">
      <w:pPr>
        <w:rPr>
          <w:rFonts w:ascii="Times New Roman" w:hAnsi="Times New Roman" w:cs="Times New Roman"/>
          <w:bCs/>
        </w:rPr>
      </w:pPr>
    </w:p>
    <w:p w:rsidR="00AA3781" w:rsidRDefault="00AA3781" w:rsidP="00AA3781">
      <w: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9F2978">
        <w:rPr>
          <w:rStyle w:val="affa"/>
          <w:rFonts w:ascii="Times New Roman" w:hAnsi="Times New Roman" w:cs="Times New Roman"/>
          <w:b/>
          <w:sz w:val="24"/>
          <w:szCs w:val="24"/>
        </w:rPr>
        <w:t>ПУП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>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426"/>
        <w:gridCol w:w="1228"/>
        <w:gridCol w:w="2736"/>
        <w:gridCol w:w="1134"/>
        <w:gridCol w:w="7"/>
        <w:gridCol w:w="1671"/>
        <w:gridCol w:w="15"/>
        <w:gridCol w:w="15"/>
        <w:gridCol w:w="60"/>
        <w:gridCol w:w="1074"/>
      </w:tblGrid>
      <w:tr w:rsidR="0006550C" w:rsidRPr="00E02269" w:rsidTr="00BE1964">
        <w:trPr>
          <w:trHeight w:val="868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4EDD" w:rsidRPr="00E02269" w:rsidTr="00BE1964">
        <w:trPr>
          <w:trHeight w:val="20"/>
        </w:trPr>
        <w:tc>
          <w:tcPr>
            <w:tcW w:w="1274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944A31" w:rsidP="00944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3</w:t>
            </w:r>
            <w:r w:rsidR="00254EDD" w:rsidRPr="005A71FF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семестр 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52</w:t>
            </w:r>
            <w:r w:rsidR="00254EDD" w:rsidRPr="005A71FF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часа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BE1964">
        <w:trPr>
          <w:trHeight w:val="51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6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5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3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C4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447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97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уникальное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2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43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44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4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9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53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8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BE1964">
        <w:trPr>
          <w:trHeight w:val="33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Древней Передней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4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4472D" w:rsidRPr="00E02269" w:rsidTr="00BE1964">
        <w:trPr>
          <w:trHeight w:val="276"/>
        </w:trPr>
        <w:tc>
          <w:tcPr>
            <w:tcW w:w="1274" w:type="dxa"/>
          </w:tcPr>
          <w:p w:rsidR="00C4472D" w:rsidRPr="00D53DE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3.2 </w:t>
            </w:r>
            <w:r w:rsidR="00C4472D"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Древнего Ирана</w:t>
            </w:r>
          </w:p>
        </w:tc>
        <w:tc>
          <w:tcPr>
            <w:tcW w:w="4390" w:type="dxa"/>
            <w:gridSpan w:val="3"/>
          </w:tcPr>
          <w:p w:rsidR="00C4472D" w:rsidRPr="00F74B8E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Культурно-географическая характеристика. Древнеиранские верования. Зороастризм. Заратустра: историческая личность и мифологический образ. «Авеста» как культурно-исторический источник: общая характеристика, структура и основное содержание. «История мира» в Авесте: три эры и идея исторической цикличности. Дуальность зороастрийского мировоззрения: Ахура-Мазда (бог добра) и Ангхро-Манью (дух зла). Роль культов огня и воды в зороастризме. Манихейство</w:t>
            </w:r>
          </w:p>
        </w:tc>
        <w:tc>
          <w:tcPr>
            <w:tcW w:w="1134" w:type="dxa"/>
            <w:shd w:val="clear" w:color="auto" w:fill="auto"/>
          </w:tcPr>
          <w:p w:rsidR="00C4472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2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</w:t>
            </w:r>
            <w:r w:rsidR="00D53DEB">
              <w:rPr>
                <w:rFonts w:ascii="Times New Roman" w:hAnsi="Times New Roman" w:cs="Times New Roman"/>
                <w:b/>
                <w:bCs/>
              </w:rPr>
              <w:t>3</w:t>
            </w:r>
            <w:r w:rsidRPr="00FA5B0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BE1964">
        <w:trPr>
          <w:trHeight w:val="293"/>
        </w:trPr>
        <w:tc>
          <w:tcPr>
            <w:tcW w:w="1274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6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319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7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25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D53DEB">
              <w:rPr>
                <w:bCs/>
                <w:i/>
                <w:color w:val="C00000"/>
                <w:sz w:val="22"/>
                <w:szCs w:val="22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944A31" w:rsidP="00944A31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color w:val="C00000"/>
              </w:rPr>
              <w:t>4</w:t>
            </w:r>
            <w:r w:rsidR="00D53DEB" w:rsidRPr="005A71FF">
              <w:rPr>
                <w:b/>
                <w:bCs/>
                <w:color w:val="C00000"/>
              </w:rPr>
              <w:t xml:space="preserve"> семестр </w:t>
            </w:r>
            <w:r>
              <w:rPr>
                <w:b/>
                <w:bCs/>
                <w:color w:val="C00000"/>
              </w:rPr>
              <w:t>56</w:t>
            </w:r>
            <w:r w:rsidR="00D53DEB" w:rsidRPr="005A71FF">
              <w:rPr>
                <w:b/>
                <w:bCs/>
                <w:color w:val="C00000"/>
              </w:rPr>
              <w:t xml:space="preserve"> час</w:t>
            </w:r>
            <w:r>
              <w:rPr>
                <w:b/>
                <w:bCs/>
                <w:color w:val="C00000"/>
              </w:rPr>
              <w:t>ов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</w:t>
            </w:r>
            <w:r w:rsidR="00D53DEB">
              <w:rPr>
                <w:b/>
                <w:sz w:val="22"/>
                <w:szCs w:val="22"/>
              </w:rPr>
              <w:t>4</w:t>
            </w:r>
            <w:r w:rsidRPr="00FA5B0B">
              <w:rPr>
                <w:b/>
                <w:sz w:val="22"/>
                <w:szCs w:val="22"/>
              </w:rPr>
              <w:t xml:space="preserve">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151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5A71FF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Просмотр фильма «атлантида»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A71FF" w:rsidRPr="00E02269" w:rsidTr="00BE1964">
        <w:trPr>
          <w:trHeight w:val="263"/>
        </w:trPr>
        <w:tc>
          <w:tcPr>
            <w:tcW w:w="9640" w:type="dxa"/>
            <w:gridSpan w:val="11"/>
          </w:tcPr>
          <w:p w:rsidR="005A71FF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3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культуры классического периода.  Греко-персидские войны и их </w:t>
            </w:r>
            <w:r w:rsidRPr="00FA5B0B">
              <w:rPr>
                <w:rFonts w:ascii="Times New Roman" w:hAnsi="Times New Roman" w:cs="Times New Roman"/>
              </w:rPr>
              <w:lastRenderedPageBreak/>
              <w:t>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3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4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1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58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254EDD" w:rsidRPr="00E02269" w:rsidTr="00BE1964">
        <w:trPr>
          <w:trHeight w:val="407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2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50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9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5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254EDD" w:rsidRPr="00E02269" w:rsidTr="00BE1964">
        <w:trPr>
          <w:trHeight w:val="128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0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26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AA3781">
        <w:trPr>
          <w:trHeight w:val="384"/>
        </w:trPr>
        <w:tc>
          <w:tcPr>
            <w:tcW w:w="5664" w:type="dxa"/>
            <w:gridSpan w:val="4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54EDD" w:rsidRPr="00E54A73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254EDD" w:rsidRPr="00E02269" w:rsidTr="00BE1964">
        <w:trPr>
          <w:trHeight w:val="239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0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3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95"/>
        </w:trPr>
        <w:tc>
          <w:tcPr>
            <w:tcW w:w="1274" w:type="dxa"/>
            <w:vMerge w:val="restart"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254EDD" w:rsidRPr="00E02269" w:rsidTr="00BE1964">
        <w:trPr>
          <w:trHeight w:val="20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8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526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6" w:type="dxa"/>
            <w:gridSpan w:val="10"/>
          </w:tcPr>
          <w:p w:rsidR="00D53DEB" w:rsidRPr="00FA5B0B" w:rsidRDefault="00944A31" w:rsidP="00944A31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5</w:t>
            </w:r>
            <w:r w:rsidR="00D53DEB" w:rsidRPr="005A71FF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семестр 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5</w:t>
            </w:r>
            <w:r w:rsidR="00D53DEB"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4 часа</w:t>
            </w:r>
          </w:p>
        </w:tc>
      </w:tr>
      <w:tr w:rsidR="00D53DEB" w:rsidRPr="00E02269" w:rsidTr="00BE1964">
        <w:trPr>
          <w:trHeight w:val="410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</w:t>
            </w:r>
            <w:r w:rsidRPr="00FA5B0B">
              <w:rPr>
                <w:b/>
                <w:sz w:val="22"/>
                <w:szCs w:val="22"/>
              </w:rPr>
              <w:lastRenderedPageBreak/>
              <w:t>Гуманизм и Возрождение в Италии.</w:t>
            </w:r>
          </w:p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34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6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D53DEB" w:rsidRPr="00E02269" w:rsidTr="00BE1964">
        <w:trPr>
          <w:trHeight w:val="78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3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4.7. Культура Индии,</w:t>
            </w:r>
            <w:r w:rsidRPr="00FA5B0B">
              <w:rPr>
                <w:b/>
                <w:sz w:val="22"/>
                <w:szCs w:val="22"/>
              </w:rPr>
              <w:t xml:space="preserve"> Китая</w:t>
            </w:r>
            <w:r>
              <w:rPr>
                <w:b/>
                <w:sz w:val="22"/>
                <w:szCs w:val="22"/>
              </w:rPr>
              <w:t xml:space="preserve"> и Японии</w:t>
            </w:r>
            <w:r w:rsidRPr="00FA5B0B">
              <w:rPr>
                <w:b/>
                <w:sz w:val="22"/>
                <w:szCs w:val="22"/>
              </w:rPr>
              <w:t xml:space="preserve"> в период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3C57E2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Основные культурные достижения средневековой Японии. «Кодзики». Основные идеи синтоизма. Буддизм и его школы: дзедо и дзэн-буддизм. Культы. Литература: проза и поэзия. Поэтические жанры: танка, рэнга, хокку. Театр в Японии: представления саругаку, гигаку и бугаку. Театр Но. Театр Кабуки. Театр марионеток.</w:t>
            </w:r>
          </w:p>
          <w:p w:rsidR="00D53DEB" w:rsidRPr="00C4472D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Средневековая японская </w:t>
            </w:r>
            <w:r w:rsidRPr="00C447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культура: особенности мировосприятия и быта. Мифы о происхождении мира. Боги-ками. Буддийская мифология в Японии. Быт и нравы средневековых японцев. Этика и образ жизни средневековых японских самураев. Бусидо – кодекс поведения самурая. Обычай сэппуку (харакири) и его значение. Особенности организации быта и нравы японцев: семья и положение женщины, чайная церемония и японские сады.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</w:t>
            </w:r>
            <w:r>
              <w:rPr>
                <w:rFonts w:ascii="Times New Roman" w:hAnsi="Times New Roman" w:cs="Times New Roman"/>
                <w:i/>
              </w:rPr>
              <w:t xml:space="preserve">е, памятниках архитектуры Индии, Японии </w:t>
            </w:r>
            <w:r w:rsidRPr="00FA5B0B">
              <w:rPr>
                <w:rFonts w:ascii="Times New Roman" w:hAnsi="Times New Roman" w:cs="Times New Roman"/>
                <w:i/>
              </w:rPr>
              <w:t>и Китая в период Средневековья.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4.8.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Тибета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Тибет как историко-культурный регион. Религия бон. Проникновение буддизма и ламаизм. Далай-Лама. Реформы Цзонхавы. Ламаистский пантеон богов. Тибетская мифология: источники, мифы о происхождении тибетцев, структура мира, мифы о демонах, великанах и карликах, представления об «аде» и «бардо». Интеллектуальная жизнь в средневековом Тибете. Воспитание и образование, развитие памяти. Духовные ценности тибетцев: йога, обыденные представления о мироздании, «третий глаз», пути духовного самосовершенствования человека. Литературное творчество Тибета. «Тибетский канон». «Книга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мертвых».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964" w:rsidRPr="00E02269" w:rsidTr="00BE1964">
        <w:trPr>
          <w:trHeight w:val="170"/>
        </w:trPr>
        <w:tc>
          <w:tcPr>
            <w:tcW w:w="1274" w:type="dxa"/>
          </w:tcPr>
          <w:p w:rsidR="00BE1964" w:rsidRDefault="00BE1964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4.9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евразийских степей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Культурно-историческая характеристика кочевых культур Евразии: тюрки, кыргызы, монголы, хазары и др. Легенда о происхождении тюрок. Мировоззрение кочевников. Трехчленная вертикаль мира. Культ Неба. Тюркский пантеон богов. Средневековые письменные источники о культуре кочевников. Руническое письмо. Поэзия тюрок. «Эры». Китайские хроники о </w:t>
            </w: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lastRenderedPageBreak/>
              <w:t>культуре тюрок. Культура монголов в «Сокровенном сказании». Сочинениях европейских путешественников (Плано Карпини, Гильом де Рубрук, Марко Поло) о культуре монголов: религия и магия, колдуны и прорицатели, семейные отношения, «хорошие» и «дурные» нравы.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D53DEB" w:rsidRPr="00E02269" w:rsidTr="00BE1964">
        <w:trPr>
          <w:trHeight w:val="445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5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2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ОК1,2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6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2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0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3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5.3. Культура Западной </w:t>
            </w:r>
            <w:r w:rsidRPr="00FA5B0B">
              <w:rPr>
                <w:b/>
                <w:sz w:val="22"/>
                <w:szCs w:val="22"/>
              </w:rPr>
              <w:lastRenderedPageBreak/>
              <w:t>Европы 19 века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3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в 19 веке.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1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5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2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9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color w:val="C00000"/>
              </w:rPr>
              <w:t>Дифференцированный зачет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944A31" w:rsidP="00944A3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6</w:t>
            </w:r>
            <w:r w:rsidR="00DD2D9D" w:rsidRPr="00DD2D9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семестр 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72</w:t>
            </w:r>
            <w:r w:rsidR="00DD2D9D" w:rsidRPr="00DD2D9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часа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178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D53DEB" w:rsidRPr="00E02269" w:rsidTr="00BE1964">
        <w:trPr>
          <w:trHeight w:val="5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мифологизм и жанр романа. Поиски в ИЗО, в театре, в музыке.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6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</w:t>
            </w:r>
            <w:r w:rsidRPr="00FA5B0B">
              <w:rPr>
                <w:rFonts w:ascii="Times New Roman" w:hAnsi="Times New Roman" w:cs="Times New Roman"/>
              </w:rPr>
              <w:lastRenderedPageBreak/>
              <w:t>сегрегации. Формирование рок-культуры.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2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7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30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552"/>
        </w:trPr>
        <w:tc>
          <w:tcPr>
            <w:tcW w:w="1274" w:type="dxa"/>
          </w:tcPr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Тема 6.4 Культура Востока в XX веке: основные тенденции и особенности развития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Основные модели культурно-исторического развития на Востоке в конце XX века: китайская, японская, индийская, арабская и др. Традиционная культура Востока и современная западная культура: основные направления взаимовлияний. Научные знания и техническое развитие стран Восточной Азии. Духовные и религиозные традиции на Востоке в XX – начале XXI вв. Каббала. Основные направления в современном индуизме: учения Рамакришны, Парамахансы Йогананды, Шри Сатьи Саи Бабы, общество Кришны. Учение гуру Ошо. Книги Дипрака Чопры.</w:t>
            </w:r>
          </w:p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Киноиндустрия на Востоке в XX – начале XXI вв. Индийский кинематограф. Радж Капур. Классические элементы индийского кино. Индустрия «Болливуда». Знаменитые индийские фильмы. Современное индийское кино. Кинотворчество Восточной Азии. Режиссер Вон Кар-Вай. «2046». Актеры современного азиатского кино: Чжан Цзыи, Гон Ли, Койуки, Мишель Йео. «Мемуары гейши». Японский и китайский театр в XX в.</w:t>
            </w:r>
          </w:p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964" w:rsidRPr="00E02269" w:rsidTr="00BE1964">
        <w:trPr>
          <w:trHeight w:val="552"/>
        </w:trPr>
        <w:tc>
          <w:tcPr>
            <w:tcW w:w="1274" w:type="dxa"/>
          </w:tcPr>
          <w:p w:rsidR="00BE1964" w:rsidRPr="003C57E2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D2D9D" w:rsidRPr="00E02269" w:rsidTr="00BE1964">
        <w:trPr>
          <w:trHeight w:val="279"/>
        </w:trPr>
        <w:tc>
          <w:tcPr>
            <w:tcW w:w="1274" w:type="dxa"/>
          </w:tcPr>
          <w:p w:rsidR="004E3A22" w:rsidRPr="00FA5B0B" w:rsidRDefault="004E3A22" w:rsidP="004E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3C57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России 80-90-х годов.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Культура России 80-90-х годов: негативные тенденции, резкая смена ориентиров.</w:t>
            </w:r>
          </w:p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Возможные перспективы культурного развития.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A22" w:rsidRPr="00E02269" w:rsidTr="00BE1964">
        <w:trPr>
          <w:trHeight w:val="279"/>
        </w:trPr>
        <w:tc>
          <w:tcPr>
            <w:tcW w:w="1274" w:type="dxa"/>
          </w:tcPr>
          <w:p w:rsidR="004E3A22" w:rsidRPr="003C57E2" w:rsidRDefault="004E3A2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 7.2 Культура Кореи на современном этапе</w:t>
            </w:r>
          </w:p>
        </w:tc>
        <w:tc>
          <w:tcPr>
            <w:tcW w:w="4390" w:type="dxa"/>
            <w:gridSpan w:val="3"/>
          </w:tcPr>
          <w:p w:rsidR="004E3A22" w:rsidRPr="004E3A22" w:rsidRDefault="00774A01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anchor="%D0%98%D1%81%D1%82%D0%BE%D1%80%D0%B8%D1%8F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История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0" w:anchor="%D0%A2%D1%80%D0%B0%D0%B4%D0%B8%D1%86%D0%B8%D0%BE%D0%BD%D0%BD%D0%BE%D0%B5_%D0%B8%D1%81%D0%BA%D1%83%D1%81%D1%81%D1%82%D0%B2%D0%BE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Традиционное искусство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1" w:anchor="%D0%9C%D1%83%D0%B7%D1%8B%D0%BA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Музыка</w:t>
              </w:r>
            </w:hyperlink>
          </w:p>
          <w:p w:rsidR="004E3A22" w:rsidRPr="00DD2D9D" w:rsidRDefault="00774A01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hyperlink r:id="rId12" w:anchor="%D0%A2%D0%B0%D0%BD%D0%B5%D1%86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Танец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3" w:anchor="%D0%96%D0%B8%D0%B2%D0%BE%D0%BF%D0%B8%D1%81%D1%8C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Живопись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4" w:anchor="%D0%A0%D0%B5%D0%BC%D1%91%D1%81%D0%BB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Ремёсла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 .</w:t>
            </w:r>
            <w:hyperlink r:id="rId15" w:anchor="%D0%9A%D0%B5%D1%80%D0%B0%D0%BC%D0%B8%D0%BA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Керамика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6" w:anchor="%D0%9E%D0%B1%D1%8B%D1%87%D0%B0%D0%B8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Обычаи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7" w:anchor="%D0%90%D1%80%D1%85%D0%B8%D1%82%D0%B5%D0%BA%D1%82%D1%83%D1%80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Архитектура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8" w:anchor="%D0%A1%D0%B0%D0%B4%D1%8B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Сады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9" w:anchor="%D0%9D%D0%B0%D1%80%D1%8F%D0%B4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Наряд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Кухня.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4E3A22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</w:t>
            </w:r>
            <w:r w:rsidR="00D53DEB"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944A31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44A31">
              <w:rPr>
                <w:rFonts w:ascii="Times New Roman" w:hAnsi="Times New Roman" w:cs="Times New Roman"/>
                <w:bCs/>
              </w:rPr>
              <w:t>34</w:t>
            </w:r>
            <w:r w:rsidR="00D53DEB" w:rsidRPr="00FA5B0B">
              <w:rPr>
                <w:rFonts w:ascii="Times New Roman" w:hAnsi="Times New Roman" w:cs="Times New Roman"/>
                <w:bCs/>
              </w:rPr>
              <w:t>/1</w:t>
            </w:r>
            <w:r w:rsidR="00944A31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20"/>
          <w:footerReference w:type="default" r:id="rId2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53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02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A3781"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учебники по количеству обучающихся,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н/Д: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sz w:val="24"/>
          <w:szCs w:val="24"/>
        </w:rPr>
        <w:t>Емохонова Л.Г.МХК:учебник.-М.:ИЦ»Академия»,2017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sz w:val="24"/>
          <w:szCs w:val="24"/>
        </w:rPr>
        <w:t>Юлдашбаева З.Б. Культурология:уч.пособие.-М.:Высш.шк.,2017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Лисичкина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Лутошкин Г.Д. Конспект лекций по истории культуры России: Учебное пособие/ Г.Д. Лутошкин.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Андреева, О.И. Мировая художественная культура,: учеб.пособие/ О.И.Андреева. – Ростов н/Д: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>)/ [Ю.В.Манн, В.А.Зайцев, О.В.Стукалова и др.]. – СПб.:Питер,2018.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Соколова М.Ф. Мировая культура и искусство: учеб пособие / М.В.Соколова. – 3-е изд., испр.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Вейс. ООО «ДайректМедиаПаблишинг»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774A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2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774A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3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774A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A3781">
        <w:rPr>
          <w:rFonts w:ascii="Times New Roman" w:hAnsi="Times New Roman" w:cs="Times New Roman"/>
          <w:sz w:val="24"/>
          <w:szCs w:val="24"/>
        </w:rPr>
        <w:t xml:space="preserve"> </w:t>
      </w:r>
      <w:r w:rsidRPr="00AA3781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«Мо́на Ли́за»</w:t>
            </w:r>
            <w:r w:rsidRPr="00AA3781">
              <w:rPr>
                <w:sz w:val="24"/>
                <w:szCs w:val="24"/>
              </w:rPr>
              <w:t>, она же «</w:t>
            </w:r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r w:rsidRPr="00AA3781">
              <w:rPr>
                <w:sz w:val="24"/>
                <w:szCs w:val="24"/>
              </w:rPr>
              <w:t>»; (</w:t>
            </w:r>
            <w:hyperlink r:id="rId25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26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r w:rsidRPr="00AA3781">
              <w:rPr>
                <w:i/>
                <w:iCs/>
                <w:sz w:val="24"/>
                <w:szCs w:val="24"/>
              </w:rPr>
              <w:t>Портре́т госпожи́ Ли́зы дель Джоко́ндо</w:t>
            </w:r>
            <w:r w:rsidRPr="00AA3781">
              <w:rPr>
                <w:sz w:val="24"/>
                <w:szCs w:val="24"/>
              </w:rPr>
              <w:t xml:space="preserve">, </w:t>
            </w:r>
            <w:hyperlink r:id="rId27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28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29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30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31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32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33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Лизы Герардини</w:t>
              </w:r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34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35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 xml:space="preserve"> Франческо дель Джокондо, написанным около </w:t>
            </w:r>
            <w:hyperlink r:id="rId36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37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38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39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40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41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42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43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44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45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46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47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48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49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50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>Толчком к развитию классицистической скульптуры в середине XVIII века послужили сочинения Винкельмана и археологические раскопки древних городов, расширившие познания современников об античном ваянии. На грани </w:t>
            </w:r>
            <w:hyperlink r:id="rId51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52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3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54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55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56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57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8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9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0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6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62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63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64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65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66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67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68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69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70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71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72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73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74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75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76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77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78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79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пользоваться различными источниками информации о мировой художественной </w:t>
            </w:r>
            <w:r w:rsidRPr="00FA5B0B">
              <w:rPr>
                <w:bCs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- знает особенности языка различных видов </w:t>
            </w:r>
            <w:r w:rsidRPr="00FA5B0B">
              <w:rPr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</w:t>
            </w:r>
            <w:r w:rsidRPr="00FA5B0B">
              <w:rPr>
                <w:sz w:val="22"/>
                <w:szCs w:val="22"/>
              </w:rPr>
              <w:lastRenderedPageBreak/>
              <w:t xml:space="preserve">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BE19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</w:t>
            </w:r>
            <w:r w:rsidR="00BE196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71045D" w:rsidTr="00BA1C53">
        <w:trPr>
          <w:trHeight w:val="19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D" w:rsidRPr="0071045D" w:rsidRDefault="00105A3A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  <w:r w:rsidR="00BE1964"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1-1.8</w:t>
            </w:r>
            <w:r w:rsidRPr="0071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45D" w:rsidRPr="0071045D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105A3A" w:rsidRPr="00B8538C" w:rsidRDefault="0071045D" w:rsidP="00710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  <w:p w:rsidR="0071045D" w:rsidRPr="0071045D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71045D" w:rsidRPr="00FA5B0B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-интерпретация результатов наблюдений за обучающимися;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  <w:r w:rsidR="0071045D" w:rsidRPr="0071045D">
              <w:rPr>
                <w:rFonts w:ascii="Times New Roman" w:hAnsi="Times New Roman" w:cs="Times New Roman"/>
                <w:i/>
              </w:rPr>
              <w:t xml:space="preserve"> Экспертное наблюдение и оценка результатов деятельности обучающихся в процессе освоения образовательной программы: - на практических занятиях (при решении ситуационных задач, при участии в деловых играх, викторинах; при подготовке и участии в семинарах, при подготовке докладов и т.д.); - при проведении проверочных и контрольных работ, зачетов. Методы устного и письменного опроса.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80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реферата в первую очередь нужно начать с выставления полей на листе. Это делается следующим образом: в документе Microsoft Office 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 Шрифт Times New 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Когда всё Вы уже выставили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Пропустив несколько строчек Вы пишете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</w:t>
      </w:r>
      <w:r w:rsidRPr="00E54A73">
        <w:rPr>
          <w:color w:val="333333"/>
        </w:rPr>
        <w:lastRenderedPageBreak/>
        <w:t>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</w:t>
      </w:r>
      <w:r w:rsidRPr="00E54A73">
        <w:rPr>
          <w:color w:val="333333"/>
        </w:rPr>
        <w:lastRenderedPageBreak/>
        <w:t>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  <w:t>Все выводы у вяжите с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 А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Кравченко А.И. Политология: Учеб. Пособие. Для студентов пед. вузов.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 / Ред. О.В. Полищук: Том. госуд.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 / Сост.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А4. Обратите внимание на то, что печатать нужно только на одной стороне бумаги. Когда реферат напечатан, просмотрите его, что бы всё было по порядку и можете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А4,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того,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Дизайн-эргономические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злоупотреблять прописными буквами (они читаются хуже строчных).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 Presentation. Позволяет применять в презентации видео и аудио.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 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уровнях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с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кинематографа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85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01" w:rsidRDefault="00774A01">
      <w:pPr>
        <w:spacing w:after="0" w:line="240" w:lineRule="auto"/>
      </w:pPr>
      <w:r>
        <w:separator/>
      </w:r>
    </w:p>
  </w:endnote>
  <w:endnote w:type="continuationSeparator" w:id="0">
    <w:p w:rsidR="00774A01" w:rsidRDefault="0077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64" w:rsidRDefault="00C94658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E196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E1964">
      <w:rPr>
        <w:rStyle w:val="af8"/>
        <w:noProof/>
      </w:rPr>
      <w:t>6</w:t>
    </w:r>
    <w:r>
      <w:rPr>
        <w:rStyle w:val="af8"/>
      </w:rPr>
      <w:fldChar w:fldCharType="end"/>
    </w:r>
  </w:p>
  <w:p w:rsidR="00BE1964" w:rsidRDefault="00BE1964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65316"/>
      <w:docPartObj>
        <w:docPartGallery w:val="Page Numbers (Bottom of Page)"/>
        <w:docPartUnique/>
      </w:docPartObj>
    </w:sdtPr>
    <w:sdtEndPr/>
    <w:sdtContent>
      <w:p w:rsidR="00BE1964" w:rsidRDefault="00C94658" w:rsidP="00A83633">
        <w:pPr>
          <w:pStyle w:val="a8"/>
        </w:pPr>
        <w:r>
          <w:fldChar w:fldCharType="begin"/>
        </w:r>
        <w:r w:rsidR="00BE1964">
          <w:instrText xml:space="preserve"> PAGE   \* MERGEFORMAT </w:instrText>
        </w:r>
        <w:r>
          <w:fldChar w:fldCharType="separate"/>
        </w:r>
        <w:r w:rsidR="00BF3A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1964" w:rsidRDefault="00BE1964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64" w:rsidRPr="002A674A" w:rsidRDefault="00C94658" w:rsidP="00A83633">
    <w:pPr>
      <w:pStyle w:val="a8"/>
      <w:jc w:val="right"/>
    </w:pPr>
    <w:r>
      <w:fldChar w:fldCharType="begin"/>
    </w:r>
    <w:r w:rsidR="00BE1964">
      <w:instrText xml:space="preserve"> PAGE   \* MERGEFORMAT </w:instrText>
    </w:r>
    <w:r>
      <w:fldChar w:fldCharType="separate"/>
    </w:r>
    <w:r w:rsidR="00BF3A23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01" w:rsidRDefault="00774A01">
      <w:pPr>
        <w:spacing w:after="0" w:line="240" w:lineRule="auto"/>
      </w:pPr>
      <w:r>
        <w:separator/>
      </w:r>
    </w:p>
  </w:footnote>
  <w:footnote w:type="continuationSeparator" w:id="0">
    <w:p w:rsidR="00774A01" w:rsidRDefault="0077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 w15:restartNumberingAfterBreak="0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4B58"/>
    <w:multiLevelType w:val="multilevel"/>
    <w:tmpl w:val="84F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0" w15:restartNumberingAfterBreak="0">
    <w:nsid w:val="58DC4396"/>
    <w:multiLevelType w:val="hybridMultilevel"/>
    <w:tmpl w:val="38A8D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4"/>
  </w:num>
  <w:num w:numId="17">
    <w:abstractNumId w:val="6"/>
  </w:num>
  <w:num w:numId="18">
    <w:abstractNumId w:val="4"/>
  </w:num>
  <w:num w:numId="19">
    <w:abstractNumId w:val="21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8D6"/>
    <w:rsid w:val="0006550C"/>
    <w:rsid w:val="000E35FE"/>
    <w:rsid w:val="000E6F83"/>
    <w:rsid w:val="00105A3A"/>
    <w:rsid w:val="00125A79"/>
    <w:rsid w:val="00146535"/>
    <w:rsid w:val="00186FDA"/>
    <w:rsid w:val="001C122D"/>
    <w:rsid w:val="001E75CA"/>
    <w:rsid w:val="002327C1"/>
    <w:rsid w:val="00254EDD"/>
    <w:rsid w:val="00397E0B"/>
    <w:rsid w:val="003C57E2"/>
    <w:rsid w:val="0042691A"/>
    <w:rsid w:val="00445455"/>
    <w:rsid w:val="004605F3"/>
    <w:rsid w:val="004E3A22"/>
    <w:rsid w:val="005872D5"/>
    <w:rsid w:val="005A71FF"/>
    <w:rsid w:val="005B7610"/>
    <w:rsid w:val="0071045D"/>
    <w:rsid w:val="007224F8"/>
    <w:rsid w:val="00766824"/>
    <w:rsid w:val="00774A01"/>
    <w:rsid w:val="00837435"/>
    <w:rsid w:val="0085635C"/>
    <w:rsid w:val="00944A31"/>
    <w:rsid w:val="00963145"/>
    <w:rsid w:val="009F2978"/>
    <w:rsid w:val="00A00169"/>
    <w:rsid w:val="00A438D6"/>
    <w:rsid w:val="00A83633"/>
    <w:rsid w:val="00AA3781"/>
    <w:rsid w:val="00B93F12"/>
    <w:rsid w:val="00BA1C53"/>
    <w:rsid w:val="00BA5395"/>
    <w:rsid w:val="00BC022C"/>
    <w:rsid w:val="00BE1964"/>
    <w:rsid w:val="00BF3A23"/>
    <w:rsid w:val="00C33DCE"/>
    <w:rsid w:val="00C4472D"/>
    <w:rsid w:val="00C94658"/>
    <w:rsid w:val="00CF6211"/>
    <w:rsid w:val="00D1639D"/>
    <w:rsid w:val="00D53DEB"/>
    <w:rsid w:val="00DA6CB6"/>
    <w:rsid w:val="00DD2D9D"/>
    <w:rsid w:val="00E04974"/>
    <w:rsid w:val="00E54A73"/>
    <w:rsid w:val="00E55A1E"/>
    <w:rsid w:val="00EC0F6F"/>
    <w:rsid w:val="00F74B8E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432F4-BA75-4744-8D72-B43076E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B%D1%8C%D1%82%D1%83%D1%80%D0%B0_%D0%9A%D0%BE%D1%80%D0%B5%D0%B8" TargetMode="External"/><Relationship Id="rId18" Type="http://schemas.openxmlformats.org/officeDocument/2006/relationships/hyperlink" Target="https://ru.wikipedia.org/wiki/%D0%9A%D1%83%D0%BB%D1%8C%D1%82%D1%83%D1%80%D0%B0_%D0%9A%D0%BE%D1%80%D0%B5%D0%B8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B%D0%B0%D1%82%D0%B8%D0%BD%D1%81%D0%BA%D0%B8%D0%B9_%D1%8F%D0%B7%D1%8B%D0%BA" TargetMode="External"/><Relationship Id="rId21" Type="http://schemas.openxmlformats.org/officeDocument/2006/relationships/footer" Target="footer2.xml"/><Relationship Id="rId34" Type="http://schemas.openxmlformats.org/officeDocument/2006/relationships/hyperlink" Target="http://ru.wikipedia.org/wiki/%D0%A8%D1%91%D0%BB%D0%BA" TargetMode="External"/><Relationship Id="rId42" Type="http://schemas.openxmlformats.org/officeDocument/2006/relationships/hyperlink" Target="http://ru.wikipedia.org/wiki/%D0%95%D0%B2%D1%80%D0%BE%D0%BF%D0%B0" TargetMode="External"/><Relationship Id="rId47" Type="http://schemas.openxmlformats.org/officeDocument/2006/relationships/hyperlink" Target="http://ru.wikipedia.org/wiki/%D0%A1%D1%80%D0%B5%D0%B4%D0%BD%D0%B8%D0%B5_%D0%B2%D0%B5%D0%BA%D0%B0" TargetMode="External"/><Relationship Id="rId50" Type="http://schemas.openxmlformats.org/officeDocument/2006/relationships/hyperlink" Target="http://ru.wikipedia.org/wiki/%D0%90%D1%84%D0%B8%D0%BD%D1%81%D0%BA%D0%B0%D1%8F_%D1%88%D0%BA%D0%BE%D0%BB%D0%B0" TargetMode="External"/><Relationship Id="rId55" Type="http://schemas.openxmlformats.org/officeDocument/2006/relationships/hyperlink" Target="http://ru.wikipedia.org/wiki/%D0%AD%D0%BB%D0%BB%D0%B8%D0%BD%D0%B8%D0%B7%D0%BC" TargetMode="External"/><Relationship Id="rId63" Type="http://schemas.openxmlformats.org/officeDocument/2006/relationships/hyperlink" Target="http://ru.wikipedia.org/wiki/%D0%90%D1%80%D1%85%D0%B8%D1%82%D0%B5%D0%BA%D1%82%D1%83%D1%80%D0%BD%D1%8B%D0%B9_%D0%BE%D1%80%D0%B4%D0%B5%D1%80" TargetMode="External"/><Relationship Id="rId68" Type="http://schemas.openxmlformats.org/officeDocument/2006/relationships/hyperlink" Target="http://ru.wikipedia.org/wiki/%D0%9A%D0%BE%D1%80%D0%BD%D0%B5%D0%BB%D1%8C" TargetMode="External"/><Relationship Id="rId76" Type="http://schemas.openxmlformats.org/officeDocument/2006/relationships/hyperlink" Target="http://ru.wikipedia.org/wiki/%D0%93%D0%B0%D0%B9%D0%B4%D0%BD,_%D0%A4%D1%80%D0%B0%D0%BD%D1%86_%D0%99%D0%BE%D0%B7%D0%B5%D1%84" TargetMode="External"/><Relationship Id="rId84" Type="http://schemas.openxmlformats.org/officeDocument/2006/relationships/image" Target="media/image4.png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1%D1%83%D0%B0%D0%BB%D0%BE-%D0%94%D0%B5%D0%BF%D1%80%D0%B5%D0%BE,_%D0%9D%D0%B8%D0%BA%D0%BE%D0%BB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0%BB%D1%8C%D1%82%D1%83%D1%80%D0%B0_%D0%9A%D0%BE%D1%80%D0%B5%D0%B8" TargetMode="External"/><Relationship Id="rId29" Type="http://schemas.openxmlformats.org/officeDocument/2006/relationships/hyperlink" Target="http://ru.wikipedia.org/wiki/%D0%9B%D1%83%D0%B2%D1%80" TargetMode="External"/><Relationship Id="rId11" Type="http://schemas.openxmlformats.org/officeDocument/2006/relationships/hyperlink" Target="https://ru.wikipedia.org/wiki/%D0%9A%D1%83%D0%BB%D1%8C%D1%82%D1%83%D1%80%D0%B0_%D0%9A%D0%BE%D1%80%D0%B5%D0%B8" TargetMode="External"/><Relationship Id="rId24" Type="http://schemas.openxmlformats.org/officeDocument/2006/relationships/hyperlink" Target="http://www.kult-mira.ru/" TargetMode="External"/><Relationship Id="rId32" Type="http://schemas.openxmlformats.org/officeDocument/2006/relationships/hyperlink" Target="http://ru.wikipedia.org/wiki/%D0%9F%D0%BE%D1%80%D1%82%D1%80%D0%B5%D1%82" TargetMode="External"/><Relationship Id="rId37" Type="http://schemas.openxmlformats.org/officeDocument/2006/relationships/hyperlink" Target="http://ru.wikipedia.org/wiki/1505_%D0%B3%D0%BE%D0%B4" TargetMode="External"/><Relationship Id="rId40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45" Type="http://schemas.openxmlformats.org/officeDocument/2006/relationships/hyperlink" Target="http://ru.wikipedia.org/wiki/XIX" TargetMode="External"/><Relationship Id="rId53" Type="http://schemas.openxmlformats.org/officeDocument/2006/relationships/hyperlink" Target="http://ru.wikipedia.org/wiki/%D0%93%D1%83%D0%B4%D0%BE%D0%BD" TargetMode="External"/><Relationship Id="rId58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66" Type="http://schemas.openxmlformats.org/officeDocument/2006/relationships/hyperlink" Target="http://ru.wikipedia.org/wiki/%D0%93%D0%BE%D1%80%D0%BE%D0%B4" TargetMode="External"/><Relationship Id="rId74" Type="http://schemas.openxmlformats.org/officeDocument/2006/relationships/hyperlink" Target="http://ru.wikipedia.org/wiki/1730" TargetMode="External"/><Relationship Id="rId79" Type="http://schemas.openxmlformats.org/officeDocument/2006/relationships/hyperlink" Target="http://ru.wikipedia.org/wiki/%D0%92%D0%B5%D0%BD%D1%81%D0%BA%D0%B0%D1%8F_%D0%BA%D0%BB%D0%B0%D1%81%D1%81%D0%B8%D0%BA%D0%B0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s://ru.wikipedia.org/wiki/%D0%9A%D1%83%D0%BB%D1%8C%D1%82%D1%83%D1%80%D0%B0_%D0%9A%D0%BE%D1%80%D0%B5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B%D1%8C%D1%82%D1%83%D1%80%D0%B0_%D0%9A%D0%BE%D1%80%D0%B5%D0%B8" TargetMode="External"/><Relationship Id="rId14" Type="http://schemas.openxmlformats.org/officeDocument/2006/relationships/hyperlink" Target="https://ru.wikipedia.org/wiki/%D0%9A%D1%83%D0%BB%D1%8C%D1%82%D1%83%D1%80%D0%B0_%D0%9A%D0%BE%D1%80%D0%B5%D0%B8" TargetMode="External"/><Relationship Id="rId22" Type="http://schemas.openxmlformats.org/officeDocument/2006/relationships/hyperlink" Target="http://www.culture-history.kiev.ua/" TargetMode="External"/><Relationship Id="rId27" Type="http://schemas.openxmlformats.org/officeDocument/2006/relationships/hyperlink" Target="http://ru.wikipedia.org/wiki/%D0%98%D1%82%D0%B0%D0%BB%D1%8C%D1%8F%D0%BD%D1%81%D0%BA%D0%B8%D0%B9_%D1%8F%D0%B7%D1%8B%D0%BA" TargetMode="External"/><Relationship Id="rId30" Type="http://schemas.openxmlformats.org/officeDocument/2006/relationships/hyperlink" Target="http://ru.wikipedia.org/wiki/%D0%9F%D0%B0%D1%80%D0%B8%D0%B6" TargetMode="External"/><Relationship Id="rId35" Type="http://schemas.openxmlformats.org/officeDocument/2006/relationships/hyperlink" Target="http://ru.wikipedia.org/wiki/%D0%A4%D0%BB%D0%BE%D1%80%D0%B5%D0%BD%D1%86%D0%B8%D1%8F" TargetMode="External"/><Relationship Id="rId43" Type="http://schemas.openxmlformats.org/officeDocument/2006/relationships/hyperlink" Target="http://ru.wikipedia.org/wiki/%D0%9A%D1%83%D0%BB%D1%8C%D1%82%D1%83%D1%80%D0%B0" TargetMode="External"/><Relationship Id="rId48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56" Type="http://schemas.openxmlformats.org/officeDocument/2006/relationships/hyperlink" Target="http://ru.wikipedia.org/wiki/%D0%9F%D1%80%D0%B0%D0%BA%D1%81%D0%B8%D1%82%D0%B5%D0%BB%D1%8C" TargetMode="External"/><Relationship Id="rId64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69" Type="http://schemas.openxmlformats.org/officeDocument/2006/relationships/hyperlink" Target="http://ru.wikipedia.org/wiki/%D0%A0%D0%B0%D1%81%D0%B8%D0%BD" TargetMode="External"/><Relationship Id="rId77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8" Type="http://schemas.openxmlformats.org/officeDocument/2006/relationships/hyperlink" Target="http://login.consultant.ru/link/?req=doc&amp;base=LAW&amp;n=392871&amp;date=02.09.2021&amp;dst=101497&amp;field=134" TargetMode="External"/><Relationship Id="rId51" Type="http://schemas.openxmlformats.org/officeDocument/2006/relationships/hyperlink" Target="http://ru.wikipedia.org/wiki/%D0%91%D0%B0%D1%80%D0%BE%D0%BA%D0%BA%D0%BE" TargetMode="External"/><Relationship Id="rId72" Type="http://schemas.openxmlformats.org/officeDocument/2006/relationships/hyperlink" Target="http://ru.wikipedia.org/wiki/%D0%9C%D0%BE%D0%BB%D1%8C%D0%B5%D1%80" TargetMode="External"/><Relationship Id="rId80" Type="http://schemas.openxmlformats.org/officeDocument/2006/relationships/hyperlink" Target="http://sga46.ru/referaty-na-zakaz" TargetMode="Externa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A%D1%83%D0%BB%D1%8C%D1%82%D1%83%D1%80%D0%B0_%D0%9A%D0%BE%D1%80%D0%B5%D0%B8" TargetMode="External"/><Relationship Id="rId17" Type="http://schemas.openxmlformats.org/officeDocument/2006/relationships/hyperlink" Target="https://ru.wikipedia.org/wiki/%D0%9A%D1%83%D0%BB%D1%8C%D1%82%D1%83%D1%80%D0%B0_%D0%9A%D0%BE%D1%80%D0%B5%D0%B8" TargetMode="External"/><Relationship Id="rId25" Type="http://schemas.openxmlformats.org/officeDocument/2006/relationships/hyperlink" Target="http://ru.wikipedia.org/wiki/%D0%98%D1%82%D0%B0%D0%BB%D1%8C%D1%8F%D0%BD%D1%81%D0%BA%D0%B8%D0%B9_%D1%8F%D0%B7%D1%8B%D0%BA" TargetMode="External"/><Relationship Id="rId33" Type="http://schemas.openxmlformats.org/officeDocument/2006/relationships/hyperlink" Target="http://ru.wikipedia.org/wiki/%D0%9B%D0%B8%D0%B7%D0%B0_%D0%B4%D0%B5%D0%BB%D1%8C_%D0%94%D0%B6%D0%BE%D0%BA%D0%BE%D0%BD%D0%B4%D0%BE" TargetMode="External"/><Relationship Id="rId38" Type="http://schemas.openxmlformats.org/officeDocument/2006/relationships/hyperlink" Target="http://ru.wikipedia.org/wiki/%D0%A4%D1%80%D0%B0%D0%BD%D1%86%D1%83%D0%B7%D1%81%D0%BA%D0%B8%D0%B9_%D1%8F%D0%B7%D1%8B%D0%BA" TargetMode="External"/><Relationship Id="rId46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59" Type="http://schemas.openxmlformats.org/officeDocument/2006/relationships/hyperlink" Target="http://ru.wikipedia.org/wiki/%D0%91%D0%BE%D1%80%D0%B8%D1%81_%D0%9E%D1%80%D0%BB%D0%BE%D0%B2%D1%81%D0%BA%D0%B8%D0%B9" TargetMode="External"/><Relationship Id="rId67" Type="http://schemas.openxmlformats.org/officeDocument/2006/relationships/hyperlink" Target="http://ru.wikipedia.org/wiki/%D0%A4%D1%80%D0%B0%D0%BD%D1%81%D1%83%D0%B0_%D0%9C%D0%B0%D0%BB%D0%B5%D1%80%D0%B1" TargetMode="External"/><Relationship Id="rId20" Type="http://schemas.openxmlformats.org/officeDocument/2006/relationships/footer" Target="footer1.xml"/><Relationship Id="rId41" Type="http://schemas.openxmlformats.org/officeDocument/2006/relationships/hyperlink" Target="http://ru.wikipedia.org/wiki/%D0%AD%D1%81%D1%82%D0%B5%D1%82%D0%B8%D0%BA%D0%B0" TargetMode="External"/><Relationship Id="rId54" Type="http://schemas.openxmlformats.org/officeDocument/2006/relationships/hyperlink" Target="http://ru.wikipedia.org/wiki/%D0%90%D0%BD%D1%82%D0%BE%D0%BD%D0%B8%D0%BE_%D0%9A%D0%B0%D0%BD%D0%BE%D0%B2%D0%B0" TargetMode="External"/><Relationship Id="rId62" Type="http://schemas.openxmlformats.org/officeDocument/2006/relationships/hyperlink" Target="http://ru.wikipedia.org/wiki/%D0%90%D1%80%D1%85%D0%B8%D1%82%D0%B5%D0%BA%D1%82%D1%83%D1%80%D0%B0" TargetMode="External"/><Relationship Id="rId70" Type="http://schemas.openxmlformats.org/officeDocument/2006/relationships/hyperlink" Target="http://ru.wikipedia.org/wiki/%D0%9B%D0%B0%D1%84%D0%BE%D0%BD%D1%82%D0%B5%D0%BD" TargetMode="External"/><Relationship Id="rId75" Type="http://schemas.openxmlformats.org/officeDocument/2006/relationships/hyperlink" Target="http://ru.wikipedia.org/wiki/1820_%D0%B3%D0%BE%D0%B4" TargetMode="External"/><Relationship Id="rId83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A%D1%83%D0%BB%D1%8C%D1%82%D1%83%D1%80%D0%B0_%D0%9A%D0%BE%D1%80%D0%B5%D0%B8" TargetMode="External"/><Relationship Id="rId23" Type="http://schemas.openxmlformats.org/officeDocument/2006/relationships/hyperlink" Target="http://www.i-u.ru/biblio/" TargetMode="External"/><Relationship Id="rId28" Type="http://schemas.openxmlformats.org/officeDocument/2006/relationships/hyperlink" Target="http://ru.wikipedia.org/wiki/%D0%9B%D0%B5%D0%BE%D0%BD%D0%B0%D1%80%D0%B4%D0%BE_%D0%B4%D0%B0_%D0%92%D0%B8%D0%BD%D1%87%D0%B8" TargetMode="External"/><Relationship Id="rId36" Type="http://schemas.openxmlformats.org/officeDocument/2006/relationships/hyperlink" Target="http://ru.wikipedia.org/wiki/1503_%D0%B3%D0%BE%D0%B4" TargetMode="External"/><Relationship Id="rId49" Type="http://schemas.openxmlformats.org/officeDocument/2006/relationships/hyperlink" Target="http://ru.wikipedia.org/wiki/%D0%A0%D0%B0%D1%84%D0%B0%D1%8D%D0%BB%D1%8C" TargetMode="External"/><Relationship Id="rId57" Type="http://schemas.openxmlformats.org/officeDocument/2006/relationships/hyperlink" Target="http://ru.wikipedia.org/wiki/%D0%A4%D0%B5%D0%B4%D0%BE%D1%82_%D0%A8%D1%83%D0%B1%D0%B8%D0%BD" TargetMode="External"/><Relationship Id="rId10" Type="http://schemas.openxmlformats.org/officeDocument/2006/relationships/hyperlink" Target="https://ru.wikipedia.org/wiki/%D0%9A%D1%83%D0%BB%D1%8C%D1%82%D1%83%D1%80%D0%B0_%D0%9A%D0%BE%D1%80%D0%B5%D0%B8" TargetMode="External"/><Relationship Id="rId31" Type="http://schemas.openxmlformats.org/officeDocument/2006/relationships/hyperlink" Target="http://ru.wikipedia.org/wiki/%D0%A4%D1%80%D0%B0%D0%BD%D1%86%D0%B8%D1%8F" TargetMode="External"/><Relationship Id="rId44" Type="http://schemas.openxmlformats.org/officeDocument/2006/relationships/hyperlink" Target="http://ru.wikipedia.org/wiki/XVII" TargetMode="External"/><Relationship Id="rId52" Type="http://schemas.openxmlformats.org/officeDocument/2006/relationships/hyperlink" Target="http://ru.wikipedia.org/wiki/%D0%9F%D0%B8%D0%B3%D0%B0%D0%BB%D1%8C,_%D0%96%D0%B0%D0%BD-%D0%91%D0%B0%D1%82%D0%B8%D1%81%D1%82" TargetMode="External"/><Relationship Id="rId60" Type="http://schemas.openxmlformats.org/officeDocument/2006/relationships/hyperlink" Target="http://ru.wikipedia.org/wiki/%D0%98%D0%B2%D0%B0%D0%BD_%D0%9C%D0%B0%D1%80%D1%82%D0%BE%D1%81" TargetMode="External"/><Relationship Id="rId65" Type="http://schemas.openxmlformats.org/officeDocument/2006/relationships/hyperlink" Target="http://ru.wikipedia.org/wiki/%D0%9E%D1%81%D0%B5%D0%B2%D0%B0%D1%8F_%D1%81%D0%B8%D0%BC%D0%BC%D0%B5%D1%82%D1%80%D0%B8%D1%8F" TargetMode="External"/><Relationship Id="rId73" Type="http://schemas.openxmlformats.org/officeDocument/2006/relationships/hyperlink" Target="http://ru.wikipedia.org/wiki/%D0%9A%D0%BB%D0%B0%D1%81%D1%81%D0%B8%D1%87%D0%B5%D1%81%D0%BA%D0%B0%D1%8F_%D0%BC%D1%83%D0%B7%D1%8B%D0%BA%D0%B0" TargetMode="External"/><Relationship Id="rId78" Type="http://schemas.openxmlformats.org/officeDocument/2006/relationships/hyperlink" Target="http://ru.wikipedia.org/wiki/%D0%91%D0%B5%D1%82%D1%85%D0%BE%D0%B2%D0%B5%D0%BD,_%D0%9B%D1%8E%D0%B4%D0%B2%D0%B8%D0%B3_%D0%B2%D0%B0%D0%BD" TargetMode="External"/><Relationship Id="rId81" Type="http://schemas.openxmlformats.org/officeDocument/2006/relationships/image" Target="media/image1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96F2-A0BC-4677-B11E-820C1672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39</Pages>
  <Words>11474</Words>
  <Characters>65404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Преподователь</cp:lastModifiedBy>
  <cp:revision>12</cp:revision>
  <dcterms:created xsi:type="dcterms:W3CDTF">2021-10-13T08:42:00Z</dcterms:created>
  <dcterms:modified xsi:type="dcterms:W3CDTF">2024-11-01T05:59:00Z</dcterms:modified>
</cp:coreProperties>
</file>