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A8" w:rsidRPr="00CA6E52" w:rsidRDefault="003A4DA8" w:rsidP="003A4DA8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12C91" w:rsidRDefault="003A4DA8" w:rsidP="00A1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27590">
        <w:rPr>
          <w:rFonts w:ascii="Times New Roman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CA6E52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A12C91" w:rsidRPr="00805BF8" w:rsidRDefault="00A12C91" w:rsidP="00A1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53.02.08 Музыкальное звукооператорское мастерство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DA8" w:rsidRPr="00D51EF6" w:rsidRDefault="003A4DA8" w:rsidP="00A1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Pr="00D51EF6" w:rsidRDefault="003A4DA8" w:rsidP="003A4D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A4DA8" w:rsidRPr="00D51EF6" w:rsidRDefault="003A4DA8" w:rsidP="003A4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A4DA8" w:rsidRPr="00202844" w:rsidRDefault="003A4DA8" w:rsidP="003A4DA8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A4DA8" w:rsidRPr="00DA477E" w:rsidTr="002442C1">
        <w:trPr>
          <w:trHeight w:val="939"/>
        </w:trPr>
        <w:tc>
          <w:tcPr>
            <w:tcW w:w="10046" w:type="dxa"/>
          </w:tcPr>
          <w:p w:rsidR="003A4DA8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3A4DA8" w:rsidRPr="00D51EF6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3A4DA8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A4DA8" w:rsidRPr="00DA477E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EC2DBF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DA8" w:rsidRPr="00EC2DBF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2442C1" w:rsidRPr="00680894" w:rsidRDefault="002442C1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Pr="00D51EF6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3A4DA8" w:rsidRDefault="003A4DA8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</w:t>
      </w:r>
      <w:r w:rsidRPr="0015163F">
        <w:rPr>
          <w:rFonts w:ascii="Times New Roman" w:hAnsi="Times New Roman" w:cs="Times New Roman"/>
          <w:sz w:val="24"/>
          <w:szCs w:val="24"/>
        </w:rPr>
        <w:t>.02.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>997.</w:t>
      </w: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Pr="00272800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2442C1" w:rsidRPr="0013713C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442C1" w:rsidRDefault="002442C1" w:rsidP="002442C1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BF8" w:rsidRDefault="00805BF8" w:rsidP="00805B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2442C1" w:rsidRPr="00823BB0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2442C1" w:rsidTr="006150BE">
        <w:trPr>
          <w:trHeight w:val="274"/>
        </w:trPr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2442C1" w:rsidRPr="00823BB0" w:rsidRDefault="002442C1" w:rsidP="00244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2442C1" w:rsidRPr="00823BB0" w:rsidRDefault="006150BE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2442C1" w:rsidRPr="00823BB0" w:rsidRDefault="002442C1" w:rsidP="006150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50BE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</w:t>
            </w:r>
            <w:r w:rsidR="006150BE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и оценка результатов усвоения учебной дисциплины</w:t>
            </w:r>
          </w:p>
        </w:tc>
        <w:tc>
          <w:tcPr>
            <w:tcW w:w="1666" w:type="dxa"/>
          </w:tcPr>
          <w:p w:rsidR="002442C1" w:rsidRPr="00823BB0" w:rsidRDefault="002442C1" w:rsidP="006150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50BE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2442C1" w:rsidRDefault="002442C1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2442C1" w:rsidRDefault="002442C1" w:rsidP="002442C1"/>
    <w:p w:rsidR="002442C1" w:rsidRDefault="002442C1" w:rsidP="002442C1"/>
    <w:p w:rsidR="002442C1" w:rsidRDefault="002442C1" w:rsidP="002442C1"/>
    <w:p w:rsidR="002442C1" w:rsidRDefault="002442C1" w:rsidP="002442C1"/>
    <w:p w:rsidR="002442C1" w:rsidRPr="00534940" w:rsidRDefault="002442C1" w:rsidP="002442C1"/>
    <w:p w:rsidR="002442C1" w:rsidRPr="00454706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2C1" w:rsidRPr="00DA477E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2442C1" w:rsidRPr="00FB6EB1" w:rsidRDefault="002442C1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C1" w:rsidRPr="00FB6EB1" w:rsidRDefault="002442C1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2442C1" w:rsidRPr="00FB6EB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680894" w:rsidRDefault="00B0407A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032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A21941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2442C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2442C1" w:rsidRDefault="002442C1" w:rsidP="002442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2442C1" w:rsidRPr="002442C1" w:rsidRDefault="002442C1" w:rsidP="002442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 w:rsidR="002442C1">
        <w:rPr>
          <w:rFonts w:ascii="Times New Roman" w:hAnsi="Times New Roman" w:cs="Times New Roman"/>
          <w:sz w:val="24"/>
          <w:szCs w:val="24"/>
        </w:rPr>
        <w:t>63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1</w:t>
      </w:r>
      <w:r w:rsidR="002442C1">
        <w:rPr>
          <w:rFonts w:ascii="Times New Roman" w:hAnsi="Times New Roman" w:cs="Times New Roman"/>
          <w:sz w:val="24"/>
          <w:szCs w:val="24"/>
        </w:rPr>
        <w:t>5</w:t>
      </w:r>
      <w:r w:rsidRPr="00D11CFB">
        <w:rPr>
          <w:rFonts w:ascii="Times New Roman" w:hAnsi="Times New Roman" w:cs="Times New Roman"/>
          <w:sz w:val="24"/>
          <w:szCs w:val="24"/>
        </w:rPr>
        <w:t xml:space="preserve"> -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2442C1" w:rsidRPr="000C4FE6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C1" w:rsidRPr="000C4FE6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442C1" w:rsidRPr="003A248D" w:rsidTr="002442C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442C1" w:rsidRPr="003A248D" w:rsidTr="002442C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2442C1" w:rsidRPr="003A248D" w:rsidTr="002442C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4E66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4E6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 w:rsidR="004E6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2442C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A2AB7" w:rsidRPr="000A2AB7" w:rsidRDefault="000A2AB7" w:rsidP="000A2AB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0A2AB7" w:rsidRDefault="000A2AB7" w:rsidP="00B0407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A2AB7" w:rsidRDefault="000A2AB7" w:rsidP="00032A0C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A2AB7" w:rsidRDefault="000A2AB7" w:rsidP="000A2AB7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0407A" w:rsidRPr="00032A0C" w:rsidRDefault="00B0407A" w:rsidP="00032A0C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A425D5" w:rsidRPr="00680894" w:rsidTr="00032A0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8; ОК 9.</w:t>
            </w: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8; ОК 9.</w:t>
            </w:r>
          </w:p>
        </w:tc>
      </w:tr>
      <w:tr w:rsidR="00032A0C" w:rsidRPr="00680894" w:rsidTr="00970C9B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8; ОК 9.</w:t>
            </w:r>
          </w:p>
        </w:tc>
      </w:tr>
      <w:tr w:rsidR="00A425D5" w:rsidRPr="00680894" w:rsidTr="00032A0C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A425D5" w:rsidRPr="00032A0C" w:rsidRDefault="00A425D5" w:rsidP="00032A0C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причины победы 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Б.Н.Ельцина</w:t>
            </w:r>
            <w:proofErr w:type="spellEnd"/>
          </w:p>
          <w:p w:rsidR="00A425D5" w:rsidRPr="00032A0C" w:rsidRDefault="00A425D5" w:rsidP="00032A0C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lastRenderedPageBreak/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A425D5" w:rsidRPr="00032A0C" w:rsidRDefault="00A425D5" w:rsidP="00032A0C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A425D5" w:rsidRPr="00032A0C" w:rsidRDefault="00A425D5" w:rsidP="00032A0C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A425D5" w:rsidRPr="00032A0C" w:rsidRDefault="00A425D5" w:rsidP="00970C9B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2.2.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032A0C" w:rsidRPr="00680894" w:rsidTr="00032A0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970C9B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A425D5" w:rsidRPr="00032A0C" w:rsidRDefault="00A425D5" w:rsidP="00032A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032A0C" w:rsidRPr="00680894" w:rsidTr="00032A0C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A425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Pr="00680894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4E662A">
          <w:footerReference w:type="default" r:id="rId10"/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A95BCF" w:rsidRDefault="00A95BCF" w:rsidP="00A95BCF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A95BCF" w:rsidRDefault="00A95BCF" w:rsidP="00A95B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A95BCF" w:rsidRDefault="00A95BCF" w:rsidP="00A95BCF"/>
    <w:p w:rsidR="00A95BCF" w:rsidRPr="006B4821" w:rsidRDefault="00A95BCF" w:rsidP="00A95B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A95BCF" w:rsidRPr="00380F08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73E" w:rsidRDefault="00A95BCF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интегрированной учебной</w:t>
      </w:r>
      <w:r w:rsidR="002E1F80">
        <w:rPr>
          <w:rFonts w:ascii="Times New Roman" w:hAnsi="Times New Roman"/>
          <w:sz w:val="24"/>
          <w:szCs w:val="24"/>
        </w:rPr>
        <w:t xml:space="preserve"> дисциплины ОГСЭ.02 История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53.02.08 Музыкальное звукооператорское  мастерство) </w:t>
      </w:r>
      <w:r w:rsidR="006F373E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6F373E">
        <w:rPr>
          <w:rFonts w:ascii="Times New Roman" w:hAnsi="Times New Roman"/>
          <w:sz w:val="24"/>
          <w:szCs w:val="24"/>
        </w:rPr>
        <w:t>среднего профессионального</w:t>
      </w:r>
      <w:r w:rsidR="006F373E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6F373E">
        <w:rPr>
          <w:rFonts w:ascii="Times New Roman" w:hAnsi="Times New Roman"/>
          <w:sz w:val="24"/>
          <w:szCs w:val="24"/>
        </w:rPr>
        <w:t xml:space="preserve"> ППССЗ</w:t>
      </w:r>
      <w:r w:rsidR="006F373E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6F373E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6F373E" w:rsidRPr="00685EDC">
        <w:rPr>
          <w:rFonts w:ascii="Times New Roman" w:hAnsi="Times New Roman"/>
          <w:sz w:val="24"/>
          <w:szCs w:val="24"/>
        </w:rPr>
        <w:t>, в котором</w:t>
      </w:r>
      <w:r w:rsidR="006F373E">
        <w:rPr>
          <w:rFonts w:ascii="Times New Roman" w:hAnsi="Times New Roman"/>
          <w:sz w:val="24"/>
          <w:szCs w:val="24"/>
        </w:rPr>
        <w:t xml:space="preserve"> </w:t>
      </w:r>
      <w:r w:rsidR="006F373E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6F373E">
        <w:rPr>
          <w:rFonts w:ascii="Times New Roman" w:hAnsi="Times New Roman"/>
          <w:sz w:val="24"/>
          <w:szCs w:val="24"/>
        </w:rPr>
        <w:t xml:space="preserve"> </w:t>
      </w:r>
      <w:r w:rsidR="006F373E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6F373E">
        <w:rPr>
          <w:rFonts w:ascii="Times New Roman" w:hAnsi="Times New Roman"/>
          <w:sz w:val="24"/>
          <w:szCs w:val="24"/>
        </w:rPr>
        <w:t xml:space="preserve">в </w:t>
      </w:r>
      <w:r w:rsidR="006F373E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6F373E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6F373E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6F373E" w:rsidRP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A95BCF" w:rsidRPr="00723BBE" w:rsidRDefault="00A95BCF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A95BCF" w:rsidRPr="00380F08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95BCF" w:rsidRDefault="00A95BCF" w:rsidP="00A95BCF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A95BCF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A95BCF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A95BCF" w:rsidRPr="004369B3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A95BCF" w:rsidRPr="004369B3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A95BCF" w:rsidRDefault="00A95BCF" w:rsidP="00A95BCF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95BCF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A95BCF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A95BCF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A95BCF" w:rsidRPr="004369B3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A95BCF" w:rsidRPr="004369B3" w:rsidRDefault="00A95BCF" w:rsidP="00A95BCF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A95BCF" w:rsidRPr="004369B3" w:rsidRDefault="00A95BCF" w:rsidP="00A95BCF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A95BCF" w:rsidRPr="004369B3" w:rsidRDefault="00327590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A95BCF" w:rsidRPr="004369B3" w:rsidRDefault="00327590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A95BCF" w:rsidRPr="004369B3" w:rsidRDefault="00327590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A95BCF" w:rsidRPr="004369B3" w:rsidRDefault="00327590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A95BCF" w:rsidRPr="004369B3" w:rsidRDefault="00327590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A95BCF" w:rsidRPr="004369B3" w:rsidRDefault="00A95BC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A95BCF" w:rsidRPr="004369B3" w:rsidRDefault="00327590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A95BCF" w:rsidRPr="004369B3" w:rsidRDefault="00A95BC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A95BCF" w:rsidRPr="004369B3" w:rsidRDefault="00327590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A95BCF" w:rsidRPr="004369B3" w:rsidRDefault="00327590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A95BCF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A95BCF" w:rsidRPr="004369B3" w:rsidRDefault="00327590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A95BCF" w:rsidRDefault="00A95BCF" w:rsidP="00A95BC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BCF" w:rsidRPr="00004200" w:rsidRDefault="00A95BCF" w:rsidP="00A95BCF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A95BCF" w:rsidRPr="00206DCE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95BCF" w:rsidRPr="00206DCE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A95BCF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95BCF" w:rsidRPr="00206DCE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BCF" w:rsidRPr="00AE6BB2" w:rsidRDefault="00A95BCF" w:rsidP="00A95BC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5BCF" w:rsidRDefault="00A95BCF" w:rsidP="00A95BCF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A95BCF" w:rsidRPr="006B4821" w:rsidRDefault="00A95BCF" w:rsidP="00A95BC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A95BCF" w:rsidRPr="006B4821" w:rsidRDefault="00A95BCF" w:rsidP="00A95BC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A95BCF" w:rsidRPr="006B4821" w:rsidRDefault="00A95BCF" w:rsidP="00A95BCF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95BCF" w:rsidRPr="006B4821" w:rsidRDefault="00A95BCF" w:rsidP="00A95BCF"/>
    <w:p w:rsidR="00A95BCF" w:rsidRPr="00680894" w:rsidRDefault="00A95BCF" w:rsidP="00A95BCF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0"/>
        <w:gridCol w:w="2107"/>
      </w:tblGrid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95BCF" w:rsidRPr="00680894" w:rsidRDefault="00A95BCF" w:rsidP="00A95B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A95BCF" w:rsidRPr="00680894" w:rsidRDefault="00A95BCF" w:rsidP="00A95B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A95BCF" w:rsidRPr="00680894" w:rsidTr="0059332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5BCF" w:rsidRPr="0094341B" w:rsidRDefault="00A95BCF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A95BCF" w:rsidRPr="00B47FDB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A95BCF" w:rsidRPr="00A60EB5" w:rsidRDefault="00A95BCF" w:rsidP="00A95B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95BCF" w:rsidRDefault="00A95BCF" w:rsidP="00A95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BCF" w:rsidRDefault="00A95BCF" w:rsidP="00A95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A95BCF" w:rsidRDefault="00A95BCF" w:rsidP="00A95BCF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A95BCF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A95BCF" w:rsidRPr="00320070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A95BCF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A95BCF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A95BCF" w:rsidRPr="00F74F59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A95BCF" w:rsidRPr="00320070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A95BCF" w:rsidRPr="00F74F59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A95BCF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A95BCF" w:rsidRDefault="00A95BCF" w:rsidP="00A95BC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A95BCF" w:rsidRPr="00320070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A95BCF" w:rsidRPr="00320070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A95BCF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A95BCF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A95BCF" w:rsidRPr="00320070" w:rsidSect="00A95BC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A95BCF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A95BCF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A95BCF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A95BCF" w:rsidRPr="00320070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A95BCF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A95BCF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A95BCF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A95BCF" w:rsidRPr="00682C28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A95BCF" w:rsidRPr="009B7B9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Pr="00682C28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A95BCF" w:rsidRPr="00682C28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A95BCF" w:rsidRDefault="00A95BCF" w:rsidP="00A95BC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A95BCF" w:rsidRDefault="00A95BCF" w:rsidP="00A95BC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A95BCF" w:rsidRDefault="00A95BCF" w:rsidP="00A95BC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A95BCF" w:rsidRPr="00737D9E" w:rsidRDefault="00A95BCF" w:rsidP="00A95BCF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A95BCF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A95BCF" w:rsidRPr="00320070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A95BCF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A95BCF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A95BCF" w:rsidRDefault="00A95BCF" w:rsidP="00A95BCF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A95BCF" w:rsidRDefault="00A95BCF" w:rsidP="00A95BCF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A95BCF" w:rsidRDefault="00A95BCF" w:rsidP="00A95BCF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A95BCF" w:rsidRPr="00320070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A95BCF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A95BCF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A95BCF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A95BCF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A95BCF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A95BCF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A95BCF" w:rsidRPr="00320070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A95BCF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A95BCF" w:rsidRPr="003B4206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A95BCF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A95BCF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A95BCF" w:rsidRDefault="00A95BCF" w:rsidP="00A95BCF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A95BCF" w:rsidRPr="00320070" w:rsidRDefault="00A95BCF" w:rsidP="00A95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A95BCF" w:rsidRPr="0000406B" w:rsidRDefault="00A95BCF" w:rsidP="00A95BCF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95BCF" w:rsidRPr="0000406B" w:rsidRDefault="00A95BCF" w:rsidP="00A95B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95BCF" w:rsidRPr="0000406B" w:rsidRDefault="00A95BCF" w:rsidP="00A95B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A95BCF" w:rsidRPr="007C7B96" w:rsidRDefault="00A95BCF" w:rsidP="00A95BCF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95BCF" w:rsidRPr="0000406B" w:rsidRDefault="00A95BCF" w:rsidP="00A95BC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95BCF" w:rsidRPr="007C7B96" w:rsidRDefault="00A95BCF" w:rsidP="00A95BCF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95BCF" w:rsidRPr="004F1D72" w:rsidTr="0059332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95BCF" w:rsidRPr="008D22FE" w:rsidRDefault="00A95BCF" w:rsidP="00A9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BCF" w:rsidRPr="008D22FE" w:rsidRDefault="00A95BCF" w:rsidP="00A95B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A95BCF" w:rsidRPr="007C7B96" w:rsidRDefault="00A95BCF" w:rsidP="00A95BCF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A95BCF" w:rsidRDefault="00A95BCF" w:rsidP="00A95BC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A95BCF" w:rsidRDefault="00A95BCF" w:rsidP="00A95BCF"/>
    <w:p w:rsidR="00452F8C" w:rsidRDefault="00452F8C" w:rsidP="00A95B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sectPr w:rsidR="00452F8C" w:rsidSect="00320070">
      <w:footerReference w:type="default" r:id="rId2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54" w:rsidRDefault="00093A54" w:rsidP="00D93323">
      <w:pPr>
        <w:spacing w:after="0" w:line="240" w:lineRule="auto"/>
      </w:pPr>
      <w:r>
        <w:separator/>
      </w:r>
    </w:p>
  </w:endnote>
  <w:endnote w:type="continuationSeparator" w:id="0">
    <w:p w:rsidR="00093A54" w:rsidRDefault="00093A54" w:rsidP="00D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A0C" w:rsidRDefault="006B3746" w:rsidP="002442C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2A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2A0C" w:rsidRDefault="00032A0C" w:rsidP="002442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032A0C" w:rsidRDefault="003275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A0C" w:rsidRDefault="00032A0C" w:rsidP="002442C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032A0C" w:rsidRDefault="003275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32A0C" w:rsidRDefault="00032A0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21" w:rsidRDefault="006B3746">
    <w:pPr>
      <w:pStyle w:val="a5"/>
      <w:jc w:val="right"/>
    </w:pPr>
    <w:r>
      <w:fldChar w:fldCharType="begin"/>
    </w:r>
    <w:r w:rsidR="00A77337">
      <w:instrText xml:space="preserve"> PAGE   \* MERGEFORMAT </w:instrText>
    </w:r>
    <w:r>
      <w:fldChar w:fldCharType="separate"/>
    </w:r>
    <w:r w:rsidR="00327590">
      <w:rPr>
        <w:noProof/>
      </w:rPr>
      <w:t>20</w:t>
    </w:r>
    <w:r>
      <w:fldChar w:fldCharType="end"/>
    </w:r>
  </w:p>
  <w:p w:rsidR="006B4821" w:rsidRDefault="003275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54" w:rsidRDefault="00093A54" w:rsidP="00D93323">
      <w:pPr>
        <w:spacing w:after="0" w:line="240" w:lineRule="auto"/>
      </w:pPr>
      <w:r>
        <w:separator/>
      </w:r>
    </w:p>
  </w:footnote>
  <w:footnote w:type="continuationSeparator" w:id="0">
    <w:p w:rsidR="00093A54" w:rsidRDefault="00093A54" w:rsidP="00D9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06519"/>
    <w:rsid w:val="00032A0C"/>
    <w:rsid w:val="00093A54"/>
    <w:rsid w:val="000A2AB7"/>
    <w:rsid w:val="00123F84"/>
    <w:rsid w:val="00132D11"/>
    <w:rsid w:val="001921DA"/>
    <w:rsid w:val="00194126"/>
    <w:rsid w:val="0023363F"/>
    <w:rsid w:val="002442C1"/>
    <w:rsid w:val="002E1F80"/>
    <w:rsid w:val="002E6EB0"/>
    <w:rsid w:val="00320504"/>
    <w:rsid w:val="00327590"/>
    <w:rsid w:val="0035542F"/>
    <w:rsid w:val="003A4DA8"/>
    <w:rsid w:val="00452F8C"/>
    <w:rsid w:val="00470C50"/>
    <w:rsid w:val="004D0D75"/>
    <w:rsid w:val="004E662A"/>
    <w:rsid w:val="00542119"/>
    <w:rsid w:val="00592B55"/>
    <w:rsid w:val="005F5AFE"/>
    <w:rsid w:val="006150BE"/>
    <w:rsid w:val="00630315"/>
    <w:rsid w:val="0069618D"/>
    <w:rsid w:val="006B3746"/>
    <w:rsid w:val="006F373E"/>
    <w:rsid w:val="00746E02"/>
    <w:rsid w:val="007915FF"/>
    <w:rsid w:val="00805BF8"/>
    <w:rsid w:val="00811D30"/>
    <w:rsid w:val="0094409B"/>
    <w:rsid w:val="00970C9B"/>
    <w:rsid w:val="00A12C91"/>
    <w:rsid w:val="00A21941"/>
    <w:rsid w:val="00A425D5"/>
    <w:rsid w:val="00A52513"/>
    <w:rsid w:val="00A77337"/>
    <w:rsid w:val="00A95BCF"/>
    <w:rsid w:val="00AF075B"/>
    <w:rsid w:val="00B00B20"/>
    <w:rsid w:val="00B0407A"/>
    <w:rsid w:val="00C51F19"/>
    <w:rsid w:val="00CD0EC9"/>
    <w:rsid w:val="00D87C90"/>
    <w:rsid w:val="00D93323"/>
    <w:rsid w:val="00D93C14"/>
    <w:rsid w:val="00DD4844"/>
    <w:rsid w:val="00E54D5C"/>
    <w:rsid w:val="00E641C0"/>
    <w:rsid w:val="00EA64E1"/>
    <w:rsid w:val="00F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23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805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B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4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A95B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A95BCF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A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18</cp:revision>
  <dcterms:created xsi:type="dcterms:W3CDTF">2018-06-28T14:08:00Z</dcterms:created>
  <dcterms:modified xsi:type="dcterms:W3CDTF">2020-12-15T07:06:00Z</dcterms:modified>
</cp:coreProperties>
</file>