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78343C17" w:rsidR="00690EDF" w:rsidRPr="00690EDF" w:rsidRDefault="00690EDF" w:rsidP="00690EDF">
      <w:pPr>
        <w:pStyle w:val="af7"/>
        <w:jc w:val="right"/>
        <w:rPr>
          <w:rFonts w:ascii="Times New Roman" w:hAnsi="Times New Roman"/>
          <w:b/>
          <w:i/>
          <w:sz w:val="24"/>
          <w:szCs w:val="24"/>
        </w:rPr>
      </w:pPr>
      <w:r w:rsidRPr="00690EDF">
        <w:rPr>
          <w:rFonts w:ascii="Times New Roman" w:hAnsi="Times New Roman"/>
          <w:b/>
          <w:i/>
          <w:sz w:val="24"/>
          <w:szCs w:val="24"/>
        </w:rPr>
        <w:t>Приложение</w:t>
      </w:r>
      <w:r w:rsidR="003522E5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3522E5">
        <w:rPr>
          <w:rFonts w:ascii="Times New Roman" w:hAnsi="Times New Roman"/>
          <w:b/>
          <w:i/>
          <w:sz w:val="24"/>
          <w:szCs w:val="24"/>
        </w:rPr>
        <w:t>II.8</w:t>
      </w:r>
      <w:r w:rsidRPr="00690ED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9FD802" w14:textId="49DD6B3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F05B91">
        <w:rPr>
          <w:rFonts w:ascii="Times New Roman" w:hAnsi="Times New Roman"/>
          <w:sz w:val="24"/>
          <w:szCs w:val="24"/>
        </w:rPr>
        <w:t>специальности</w:t>
      </w:r>
    </w:p>
    <w:p w14:paraId="1A2E8C49" w14:textId="733B82A9" w:rsidR="00690EDF" w:rsidRPr="00690EDF" w:rsidRDefault="00594AAC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7B3B478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 w:rsidR="000D6FCC">
        <w:rPr>
          <w:rFonts w:ascii="Times New Roman" w:hAnsi="Times New Roman" w:cs="Times New Roman"/>
          <w:b/>
          <w:sz w:val="24"/>
          <w:szCs w:val="24"/>
        </w:rPr>
        <w:t>8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42425" w14:textId="77777777" w:rsidR="000D6FCC" w:rsidRDefault="000D6FCC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45E05F8A" w14:textId="627642A3" w:rsidR="00670BAC" w:rsidRPr="00670BAC" w:rsidRDefault="00670BAC" w:rsidP="00670BA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A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F05B91">
        <w:rPr>
          <w:rFonts w:ascii="Times New Roman" w:hAnsi="Times New Roman" w:cs="Times New Roman"/>
          <w:sz w:val="24"/>
          <w:szCs w:val="24"/>
        </w:rPr>
        <w:t>специальности</w:t>
      </w:r>
      <w:r w:rsidRPr="00670BAC">
        <w:rPr>
          <w:rFonts w:ascii="Times New Roman" w:hAnsi="Times New Roman" w:cs="Times New Roman"/>
          <w:sz w:val="24"/>
          <w:szCs w:val="24"/>
        </w:rPr>
        <w:t xml:space="preserve"> </w:t>
      </w:r>
      <w:r w:rsidRPr="00670BAC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r w:rsidRPr="00670BAC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670BAC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70BAC">
        <w:rPr>
          <w:rFonts w:ascii="Times New Roman" w:hAnsi="Times New Roman" w:cs="Times New Roman"/>
          <w:sz w:val="24"/>
          <w:szCs w:val="24"/>
        </w:rPr>
        <w:t xml:space="preserve"> по </w:t>
      </w:r>
      <w:r w:rsidR="00F05B9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670BAC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сооружений» от 10 января 2018 года N2, зарегистрирован в Минюсте России 26 января 2018 года N49797).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5567EC7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 w:rsidR="00830A85"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70F9EDEB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 w:rsidR="00830A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830A85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2DD9F69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 w:rsidR="00830A85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</w:t>
            </w:r>
            <w:r w:rsidRPr="00114024">
              <w:lastRenderedPageBreak/>
              <w:t>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</w:t>
            </w:r>
            <w:r w:rsidRPr="00114024">
              <w:rPr>
                <w:color w:val="000000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</w:t>
            </w:r>
            <w:r w:rsidRPr="00114024"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</w:t>
            </w:r>
            <w:r w:rsidRPr="00114024">
              <w:lastRenderedPageBreak/>
              <w:t>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ценностное отношение к государственным символам,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</w:t>
            </w:r>
            <w:r w:rsidRPr="00114024">
              <w:lastRenderedPageBreak/>
              <w:t>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</w:t>
            </w:r>
            <w:r w:rsidRPr="00114024">
              <w:lastRenderedPageBreak/>
              <w:t>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</w:t>
            </w:r>
            <w:r w:rsidRPr="00114024">
              <w:lastRenderedPageBreak/>
              <w:t xml:space="preserve">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</w:t>
            </w:r>
            <w:r w:rsidRPr="00114024">
              <w:lastRenderedPageBreak/>
              <w:t>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3D5D7B46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ОУП.0</w:t>
      </w:r>
      <w:r w:rsidR="00830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FE0FE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FE0FE3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5FC0D" w14:textId="77777777" w:rsidR="00FE0FE3" w:rsidRDefault="00FE0FE3">
      <w:pPr>
        <w:spacing w:after="0" w:line="240" w:lineRule="auto"/>
      </w:pPr>
      <w:r>
        <w:separator/>
      </w:r>
    </w:p>
  </w:endnote>
  <w:endnote w:type="continuationSeparator" w:id="0">
    <w:p w14:paraId="5806B5ED" w14:textId="77777777" w:rsidR="00FE0FE3" w:rsidRDefault="00FE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436901" w:rsidRDefault="00436901" w:rsidP="004C7049">
    <w:pPr>
      <w:pStyle w:val="a5"/>
      <w:ind w:right="360"/>
    </w:pPr>
  </w:p>
  <w:p w14:paraId="1C76305E" w14:textId="77777777" w:rsidR="00436901" w:rsidRDefault="004369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2E5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436901" w:rsidRDefault="004369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436901" w:rsidRDefault="00436901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2E5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436901" w:rsidRDefault="00436901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DEFEA" w14:textId="77777777" w:rsidR="00FE0FE3" w:rsidRDefault="00FE0FE3">
      <w:pPr>
        <w:spacing w:after="0" w:line="240" w:lineRule="auto"/>
      </w:pPr>
      <w:r>
        <w:separator/>
      </w:r>
    </w:p>
  </w:footnote>
  <w:footnote w:type="continuationSeparator" w:id="0">
    <w:p w14:paraId="649CD1DE" w14:textId="77777777" w:rsidR="00FE0FE3" w:rsidRDefault="00FE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D6FCC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09BE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22E5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36901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4AAC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0BAC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6F33C4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0A85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94E65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05B91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E0FE3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9FF9-6BE0-4029-B6A0-A45E55C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7365</Words>
  <Characters>41982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19</cp:revision>
  <cp:lastPrinted>2023-01-12T13:22:00Z</cp:lastPrinted>
  <dcterms:created xsi:type="dcterms:W3CDTF">2023-09-13T12:57:00Z</dcterms:created>
  <dcterms:modified xsi:type="dcterms:W3CDTF">2023-10-12T10:02:00Z</dcterms:modified>
</cp:coreProperties>
</file>