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  <w:r w:rsidR="00E324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C1F65" w:rsidRPr="00E324A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4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FCC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FCC" w:rsidRPr="00B8488A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488A" w:rsidRPr="00E324A5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4A5">
        <w:rPr>
          <w:rFonts w:ascii="Times New Roman" w:hAnsi="Times New Roman"/>
          <w:sz w:val="28"/>
          <w:szCs w:val="28"/>
        </w:rPr>
        <w:t>Тобольск</w:t>
      </w:r>
      <w:r w:rsidR="00E324A5" w:rsidRPr="00E324A5">
        <w:rPr>
          <w:rFonts w:ascii="Times New Roman" w:hAnsi="Times New Roman"/>
          <w:sz w:val="28"/>
          <w:szCs w:val="28"/>
        </w:rPr>
        <w:t>,</w:t>
      </w:r>
      <w:r w:rsidRPr="00E324A5">
        <w:rPr>
          <w:rFonts w:ascii="Times New Roman" w:hAnsi="Times New Roman"/>
          <w:sz w:val="28"/>
          <w:szCs w:val="28"/>
        </w:rPr>
        <w:t xml:space="preserve"> 2020 г.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6F25C8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учебной  дисциплины  разработана на основе  Федерального  государственного образовательного стандарта  (</w:t>
      </w:r>
      <w:r w:rsidR="0088446D">
        <w:rPr>
          <w:rFonts w:ascii="Times New Roman" w:hAnsi="Times New Roman"/>
          <w:sz w:val="24"/>
          <w:szCs w:val="24"/>
        </w:rPr>
        <w:t>далее – ФГОС) от 23.12.2014 г. №  1608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>
        <w:rPr>
          <w:rFonts w:ascii="Times New Roman" w:hAnsi="Times New Roman"/>
          <w:sz w:val="24"/>
          <w:szCs w:val="24"/>
        </w:rPr>
        <w:t>53.02.03 Инструментальное исполнительство (п</w:t>
      </w:r>
      <w:r w:rsidR="00675E4A">
        <w:rPr>
          <w:rFonts w:ascii="Times New Roman" w:hAnsi="Times New Roman"/>
          <w:sz w:val="24"/>
          <w:szCs w:val="24"/>
        </w:rPr>
        <w:t>о видам инструментов</w:t>
      </w:r>
      <w:r w:rsidR="00FB748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протокол №  10  от "17" июня  2020 г.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Методист______________/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E324A5">
        <w:rPr>
          <w:rFonts w:ascii="Times New Roman" w:hAnsi="Times New Roman"/>
          <w:sz w:val="24"/>
          <w:szCs w:val="24"/>
        </w:rPr>
        <w:t>андаева</w:t>
      </w:r>
      <w:proofErr w:type="spellEnd"/>
      <w:r w:rsidR="00E324A5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М./</w:t>
      </w:r>
    </w:p>
    <w:p w:rsidR="003E5B1C" w:rsidRDefault="003E5B1C" w:rsidP="003E5B1C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3E5B1C" w:rsidRDefault="003E5B1C" w:rsidP="003E5B1C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70D" w:rsidRDefault="00DF270D" w:rsidP="006F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FB7481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FB7481">
        <w:rPr>
          <w:rFonts w:ascii="Times New Roman" w:hAnsi="Times New Roman" w:cs="Times New Roman"/>
          <w:sz w:val="24"/>
          <w:szCs w:val="24"/>
        </w:rPr>
        <w:t>)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электронный </w:t>
            </w:r>
            <w:r w:rsidR="007C4C97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вариант </w:t>
            </w:r>
            <w:r w:rsid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10%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CF7942" w:rsidRPr="00C3743A" w:rsidRDefault="00CF7942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324A5" w:rsidRDefault="00E324A5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324A5" w:rsidSect="007C4C97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521F" w:rsidRDefault="005E521F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 план и содержание учебной дисциплины </w:t>
      </w:r>
    </w:p>
    <w:p w:rsidR="005E521F" w:rsidRDefault="005E521F" w:rsidP="005E521F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 Гармония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5813"/>
        <w:gridCol w:w="2268"/>
        <w:gridCol w:w="1842"/>
        <w:gridCol w:w="2977"/>
      </w:tblGrid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 и разделов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Осваиваемые элементы компетенций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 «Гармония»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Аккорды. Четырехголосный склад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: «Запись аккордов в четырехголосном складе»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2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Нормы движения голосов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по гармонизации мелодии»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по гармонизации баса»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Скачки терций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Период, предложение, каденция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«Задачи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>кадансового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 секстаккордов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, анализ примеров, игра на фортепиано последовательностей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квартсекстаккордов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,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примеров,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Решение задач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и его обращений, игра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функциональные группы.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Главные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побочные трезвучии.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 и трезвучие второй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rPr>
          <w:trHeight w:val="17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секстаккорда второй ступени и трезвучия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второй ступени, игра оборотов, секвенций, анализ примеров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Аккорды субдоминантовой  группы в гармоническом мажоре.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14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неполного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трезвучия шестой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«Задачи с использованием второго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Вводные септаккорды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вводного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18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2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237"/>
        </w:trPr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малоупотребительных   аккордов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доминантовой группы, игра оборотов,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фригийских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20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Секвенции с различными функциональными соотношениями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«Решение задач,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секвенций»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«Анализ русских народных песен»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Хроматизм, виды хроматизма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69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аккордов двойной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доминанты, игра оборотов,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Отклонения в </w:t>
            </w: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родственные тональности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24.1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отклонений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периодов,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секвенций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секвенций.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Модуляции в тональности первой степени родства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с модуляциями,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периодов с модуляциями,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Степени родства тональностей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Степени родства тональностей по классификации Римского-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Корсакого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 Анализ примеров с модуляциями»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28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Неаккордовые звуки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29.1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30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Альтерация аккордов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субдоминантовой</w:t>
            </w:r>
            <w:proofErr w:type="gram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 доминантовой групп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фонизма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Энгармонизм, энгармоническая модуляция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31.1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уменьшенный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вводный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Мажоро-минор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32.1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Параллельный и одноименный мажор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33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Основные явления гармонии двадцатого века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Экзаменационная письменная задача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Аудиторных: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E521F" w:rsidRDefault="005E521F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324A5" w:rsidSect="00E324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lastRenderedPageBreak/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87D" w:rsidRDefault="00DF270D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87D" w:rsidRPr="0019409B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10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 w:rsidR="00E8387D">
        <w:rPr>
          <w:rFonts w:ascii="Times New Roman" w:hAnsi="Times New Roman"/>
          <w:sz w:val="24"/>
          <w:szCs w:val="24"/>
        </w:rPr>
        <w:t>джаза</w:t>
      </w:r>
      <w:proofErr w:type="gramStart"/>
      <w:r w:rsidR="00E8387D">
        <w:rPr>
          <w:rFonts w:ascii="Times New Roman" w:hAnsi="Times New Roman"/>
          <w:sz w:val="24"/>
          <w:szCs w:val="24"/>
        </w:rPr>
        <w:t>:у</w:t>
      </w:r>
      <w:proofErr w:type="gramEnd"/>
      <w:r w:rsidR="00E8387D">
        <w:rPr>
          <w:rFonts w:ascii="Times New Roman" w:hAnsi="Times New Roman"/>
          <w:sz w:val="24"/>
          <w:szCs w:val="24"/>
        </w:rPr>
        <w:t>ч.посо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5F70" w:rsidRPr="00475F70" w:rsidRDefault="007441BB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http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://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www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475F70" w:rsidRPr="00475F70">
        <w:rPr>
          <w:rFonts w:ascii="Times New Roman" w:hAnsi="Times New Roman" w:cs="Times New Roman"/>
          <w:sz w:val="24"/>
          <w:szCs w:val="24"/>
        </w:rPr>
        <w:t>)</w:t>
      </w:r>
    </w:p>
    <w:p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475F70" w:rsidRPr="00EF4919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324A5" w:rsidRDefault="00E324A5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таких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0"/>
        <w:gridCol w:w="2375"/>
      </w:tblGrid>
      <w:tr w:rsidR="007822FC" w:rsidRPr="00E324A5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Делает гармонический анализ произведения: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тональный план произведения;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каденции в соответствии с формой произведения, кульминацию;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гармонические функции;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соотношение мелодии и гармонических функций;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-определяет особенности фактуры;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диатонические секвенции;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хроматические секвенции;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 уроки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мелодии;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2. Организовывать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-умение формулировать цель и задачи </w:t>
            </w: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предстоящей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</w:t>
            </w: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решений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1.4 (ХД) Использовать комплекс музыкально-исполнительских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тональный план;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каденций;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аккордики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типы фактур;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экзамен, контрольные работы</w:t>
            </w:r>
          </w:p>
        </w:tc>
      </w:tr>
      <w:tr w:rsidR="007822FC" w:rsidRPr="00E324A5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ПК 2.7 (ИИ, ХД)  Планировать развитие профессиональных навыков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понятие о модуляции.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Энгармоническая модуляция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8793F" w:rsidRDefault="00A8793F" w:rsidP="00A8793F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A8793F" w:rsidRDefault="00A8793F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44C6B" w:rsidRDefault="00E44C6B" w:rsidP="002C2F0C">
      <w:pPr>
        <w:pStyle w:val="Textbody"/>
        <w:spacing w:after="0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lastRenderedPageBreak/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44C6B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E324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BB" w:rsidRDefault="007441BB" w:rsidP="002C2F0C">
      <w:pPr>
        <w:spacing w:after="0" w:line="240" w:lineRule="auto"/>
      </w:pPr>
      <w:r>
        <w:separator/>
      </w:r>
    </w:p>
  </w:endnote>
  <w:endnote w:type="continuationSeparator" w:id="0">
    <w:p w:rsidR="007441BB" w:rsidRDefault="007441BB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7594"/>
      <w:docPartObj>
        <w:docPartGallery w:val="Page Numbers (Bottom of Page)"/>
        <w:docPartUnique/>
      </w:docPartObj>
    </w:sdtPr>
    <w:sdtEndPr/>
    <w:sdtContent>
      <w:p w:rsidR="002C2F0C" w:rsidRDefault="007441B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4A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C2F0C" w:rsidRDefault="002C2F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BB" w:rsidRDefault="007441BB" w:rsidP="002C2F0C">
      <w:pPr>
        <w:spacing w:after="0" w:line="240" w:lineRule="auto"/>
      </w:pPr>
      <w:r>
        <w:separator/>
      </w:r>
    </w:p>
  </w:footnote>
  <w:footnote w:type="continuationSeparator" w:id="0">
    <w:p w:rsidR="007441BB" w:rsidRDefault="007441BB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1F6A1F"/>
    <w:rsid w:val="001F7FCC"/>
    <w:rsid w:val="00216E27"/>
    <w:rsid w:val="00223147"/>
    <w:rsid w:val="0025113B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453C"/>
    <w:rsid w:val="00316676"/>
    <w:rsid w:val="0035038B"/>
    <w:rsid w:val="003625C2"/>
    <w:rsid w:val="00391CF1"/>
    <w:rsid w:val="003938C7"/>
    <w:rsid w:val="003947B9"/>
    <w:rsid w:val="003A6134"/>
    <w:rsid w:val="003B3E87"/>
    <w:rsid w:val="003D78C9"/>
    <w:rsid w:val="003E5B1C"/>
    <w:rsid w:val="003F278B"/>
    <w:rsid w:val="003F3A85"/>
    <w:rsid w:val="0041293E"/>
    <w:rsid w:val="0042295D"/>
    <w:rsid w:val="00451DE3"/>
    <w:rsid w:val="00457D61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839"/>
    <w:rsid w:val="00561FC5"/>
    <w:rsid w:val="00564CA6"/>
    <w:rsid w:val="00565CDE"/>
    <w:rsid w:val="00570CFD"/>
    <w:rsid w:val="00585CAC"/>
    <w:rsid w:val="00594CE5"/>
    <w:rsid w:val="005A0953"/>
    <w:rsid w:val="005A0CEE"/>
    <w:rsid w:val="005A701D"/>
    <w:rsid w:val="005D6189"/>
    <w:rsid w:val="005E521F"/>
    <w:rsid w:val="006230F9"/>
    <w:rsid w:val="00662CF9"/>
    <w:rsid w:val="00665B7C"/>
    <w:rsid w:val="00675E4A"/>
    <w:rsid w:val="006F23C5"/>
    <w:rsid w:val="006F25C8"/>
    <w:rsid w:val="007441BB"/>
    <w:rsid w:val="00746B59"/>
    <w:rsid w:val="0077340C"/>
    <w:rsid w:val="007822FC"/>
    <w:rsid w:val="00792524"/>
    <w:rsid w:val="007A240A"/>
    <w:rsid w:val="007B37FF"/>
    <w:rsid w:val="007B6C6A"/>
    <w:rsid w:val="007B7C33"/>
    <w:rsid w:val="007C4C97"/>
    <w:rsid w:val="007D1AEC"/>
    <w:rsid w:val="00805B00"/>
    <w:rsid w:val="00805D5F"/>
    <w:rsid w:val="0081137E"/>
    <w:rsid w:val="00841513"/>
    <w:rsid w:val="00847F26"/>
    <w:rsid w:val="00875FCA"/>
    <w:rsid w:val="00882CC7"/>
    <w:rsid w:val="0088446D"/>
    <w:rsid w:val="0088643D"/>
    <w:rsid w:val="008A4D76"/>
    <w:rsid w:val="008C2A38"/>
    <w:rsid w:val="008E1CE0"/>
    <w:rsid w:val="008E4156"/>
    <w:rsid w:val="008E73FC"/>
    <w:rsid w:val="0095753D"/>
    <w:rsid w:val="00965C98"/>
    <w:rsid w:val="00972E13"/>
    <w:rsid w:val="00983173"/>
    <w:rsid w:val="009879F1"/>
    <w:rsid w:val="009A036B"/>
    <w:rsid w:val="009D0FC3"/>
    <w:rsid w:val="009D1CE4"/>
    <w:rsid w:val="009E4197"/>
    <w:rsid w:val="00A17162"/>
    <w:rsid w:val="00A43E50"/>
    <w:rsid w:val="00A52E52"/>
    <w:rsid w:val="00A54174"/>
    <w:rsid w:val="00A73903"/>
    <w:rsid w:val="00A84DC2"/>
    <w:rsid w:val="00A8793F"/>
    <w:rsid w:val="00A9051B"/>
    <w:rsid w:val="00AA023A"/>
    <w:rsid w:val="00AA44FE"/>
    <w:rsid w:val="00AB6E1D"/>
    <w:rsid w:val="00AC52CF"/>
    <w:rsid w:val="00AD1123"/>
    <w:rsid w:val="00AF72A1"/>
    <w:rsid w:val="00B1039D"/>
    <w:rsid w:val="00B115C7"/>
    <w:rsid w:val="00B27685"/>
    <w:rsid w:val="00B40162"/>
    <w:rsid w:val="00B41D96"/>
    <w:rsid w:val="00B63C95"/>
    <w:rsid w:val="00B70465"/>
    <w:rsid w:val="00B71053"/>
    <w:rsid w:val="00B760F8"/>
    <w:rsid w:val="00B82D43"/>
    <w:rsid w:val="00B8488A"/>
    <w:rsid w:val="00BB5E3A"/>
    <w:rsid w:val="00BC7090"/>
    <w:rsid w:val="00BD57EC"/>
    <w:rsid w:val="00C3743A"/>
    <w:rsid w:val="00C41EE4"/>
    <w:rsid w:val="00C5515C"/>
    <w:rsid w:val="00C87EF1"/>
    <w:rsid w:val="00C92A55"/>
    <w:rsid w:val="00C9376D"/>
    <w:rsid w:val="00C941F9"/>
    <w:rsid w:val="00CE4B84"/>
    <w:rsid w:val="00CF6E65"/>
    <w:rsid w:val="00CF7223"/>
    <w:rsid w:val="00CF7942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70D"/>
    <w:rsid w:val="00DF2FD2"/>
    <w:rsid w:val="00E05A04"/>
    <w:rsid w:val="00E07096"/>
    <w:rsid w:val="00E2209B"/>
    <w:rsid w:val="00E324A5"/>
    <w:rsid w:val="00E44C6B"/>
    <w:rsid w:val="00E62398"/>
    <w:rsid w:val="00E8387D"/>
    <w:rsid w:val="00E905F3"/>
    <w:rsid w:val="00EB6CCE"/>
    <w:rsid w:val="00ED0724"/>
    <w:rsid w:val="00EE5DC7"/>
    <w:rsid w:val="00EF4919"/>
    <w:rsid w:val="00F01DA6"/>
    <w:rsid w:val="00F228A3"/>
    <w:rsid w:val="00FA2EC4"/>
    <w:rsid w:val="00FB7481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.lanbook.com/book/110821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B8A68-6B81-408F-A85E-A4E203A8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5134</Words>
  <Characters>29267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4.3 Система оценивания</vt:lpstr>
    </vt:vector>
  </TitlesOfParts>
  <Company/>
  <LinksUpToDate>false</LinksUpToDate>
  <CharactersWithSpaces>34333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120</cp:revision>
  <dcterms:created xsi:type="dcterms:W3CDTF">2014-10-24T14:11:00Z</dcterms:created>
  <dcterms:modified xsi:type="dcterms:W3CDTF">2020-06-18T05:50:00Z</dcterms:modified>
</cp:coreProperties>
</file>