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B2AF7">
        <w:rPr>
          <w:rFonts w:ascii="Times New Roman" w:hAnsi="Times New Roman" w:cs="Times New Roman"/>
          <w:b/>
          <w:sz w:val="24"/>
          <w:szCs w:val="24"/>
        </w:rPr>
        <w:t>ППССЗ</w:t>
      </w:r>
      <w:r w:rsidRPr="00837435">
        <w:rPr>
          <w:rFonts w:ascii="Times New Roman" w:hAnsi="Times New Roman" w:cs="Times New Roman"/>
          <w:b/>
          <w:sz w:val="24"/>
          <w:szCs w:val="24"/>
        </w:rPr>
        <w:t xml:space="preserve"> СПО по </w:t>
      </w:r>
      <w:r w:rsidR="00CB2AF7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C33DCE" w:rsidRPr="00837435" w:rsidRDefault="00A83633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A83633">
        <w:rPr>
          <w:rFonts w:ascii="Times New Roman" w:hAnsi="Times New Roman" w:cs="Times New Roman"/>
          <w:b/>
          <w:sz w:val="24"/>
          <w:szCs w:val="24"/>
        </w:rPr>
        <w:t>53.02.03</w:t>
      </w:r>
      <w:r w:rsidRPr="002C3A9D">
        <w:rPr>
          <w:b/>
        </w:rPr>
        <w:t xml:space="preserve"> 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по идам инструментов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837435" w:rsidRPr="00837435">
        <w:rPr>
          <w:rFonts w:ascii="Times New Roman" w:hAnsi="Times New Roman" w:cs="Times New Roman"/>
          <w:bCs/>
          <w:sz w:val="28"/>
          <w:szCs w:val="28"/>
        </w:rPr>
        <w:t>20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A83633" w:rsidRPr="00A83633">
        <w:t>53.02.03</w:t>
      </w:r>
      <w:r w:rsidR="00A83633" w:rsidRPr="002C3A9D">
        <w:rPr>
          <w:b/>
        </w:rPr>
        <w:t xml:space="preserve"> </w:t>
      </w:r>
      <w:r w:rsidRPr="00837435"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>27 октября 2014 г. N 1390,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CB2AF7">
        <w:rPr>
          <w:rFonts w:ascii="Times New Roman" w:hAnsi="Times New Roman" w:cs="Times New Roman"/>
          <w:sz w:val="24"/>
          <w:szCs w:val="24"/>
        </w:rPr>
        <w:t>кча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AA3781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B2AF7" w:rsidRDefault="00AA3781" w:rsidP="00CB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="00CB2AF7" w:rsidRPr="00CB2AF7">
        <w:rPr>
          <w:rFonts w:ascii="Times New Roman" w:hAnsi="Times New Roman" w:cs="Times New Roman"/>
          <w:sz w:val="24"/>
          <w:szCs w:val="24"/>
        </w:rPr>
        <w:t>53.02.03</w:t>
      </w:r>
      <w:r w:rsidR="00CB2AF7" w:rsidRPr="00CB2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F7" w:rsidRPr="00CB2AF7">
        <w:rPr>
          <w:rFonts w:ascii="Times New Roman" w:hAnsi="Times New Roman" w:cs="Times New Roman"/>
          <w:sz w:val="24"/>
          <w:szCs w:val="24"/>
        </w:rPr>
        <w:t>Инструментальное исполнительство</w:t>
      </w:r>
      <w:r w:rsidR="00CB2A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B2AF7" w:rsidRPr="00CB2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A3781" w:rsidRPr="00B13AAE" w:rsidRDefault="00AA3781" w:rsidP="00CB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AA3781" w:rsidRPr="007573A3" w:rsidTr="00AA3781">
        <w:tc>
          <w:tcPr>
            <w:tcW w:w="2939" w:type="dxa"/>
            <w:vMerge w:val="restart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Обладать ПК, </w:t>
            </w:r>
            <w:proofErr w:type="gramStart"/>
            <w:r w:rsidRPr="007573A3">
              <w:rPr>
                <w:rFonts w:ascii="Times New Roman" w:hAnsi="Times New Roman" w:cs="Times New Roman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</w:rPr>
              <w:t>:</w:t>
            </w:r>
          </w:p>
          <w:p w:rsidR="00AA3781" w:rsidRPr="007573A3" w:rsidRDefault="00AA3781" w:rsidP="00AA37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A3781" w:rsidRPr="007573A3" w:rsidRDefault="00AA3781" w:rsidP="00AA37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A3781" w:rsidRPr="007573A3" w:rsidRDefault="00AA3781" w:rsidP="00AA37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A3781" w:rsidRPr="007573A3" w:rsidRDefault="00AA3781" w:rsidP="00AA37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A3781" w:rsidRPr="007573A3" w:rsidRDefault="00AA3781" w:rsidP="00AA37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A3781" w:rsidRPr="007573A3" w:rsidRDefault="00AA3781" w:rsidP="00AA3781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49"/>
        <w:gridCol w:w="2523"/>
      </w:tblGrid>
      <w:tr w:rsidR="00AA3781" w:rsidRPr="00412FFC" w:rsidTr="00AA3781">
        <w:trPr>
          <w:trHeight w:val="430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A3781" w:rsidRPr="00412FFC" w:rsidTr="00AA3781">
        <w:trPr>
          <w:trHeight w:val="267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162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</w:tr>
      <w:tr w:rsidR="00AA3781" w:rsidRPr="00412FFC" w:rsidTr="00AA3781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A3781" w:rsidRPr="00412FFC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A3781" w:rsidRDefault="00AA3781">
      <w:pPr>
        <w:rPr>
          <w:rFonts w:ascii="Times New Roman" w:hAnsi="Times New Roman" w:cs="Times New Roman"/>
          <w:bCs/>
        </w:rPr>
      </w:pPr>
    </w:p>
    <w:p w:rsidR="00AA3781" w:rsidRDefault="00AA3781" w:rsidP="00AA3781">
      <w: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6"/>
        <w:gridCol w:w="1228"/>
        <w:gridCol w:w="2737"/>
        <w:gridCol w:w="1134"/>
        <w:gridCol w:w="1678"/>
        <w:gridCol w:w="15"/>
        <w:gridCol w:w="15"/>
        <w:gridCol w:w="60"/>
        <w:gridCol w:w="1074"/>
      </w:tblGrid>
      <w:tr w:rsidR="0006550C" w:rsidRPr="00E02269" w:rsidTr="00AA3781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AA3781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A3781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3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AA378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AA378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A3781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A3781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6FDA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186FDA">
              <w:rPr>
                <w:rFonts w:ascii="Times New Roman" w:hAnsi="Times New Roman" w:cs="Times New Roman"/>
                <w:b/>
                <w:bCs/>
              </w:rPr>
              <w:t xml:space="preserve"> 4,8</w:t>
            </w:r>
          </w:p>
        </w:tc>
      </w:tr>
      <w:tr w:rsidR="0006550C" w:rsidRPr="00E02269" w:rsidTr="00AA3781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Древней Передней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AA3781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5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A3781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1-4</w:t>
            </w:r>
          </w:p>
        </w:tc>
      </w:tr>
      <w:tr w:rsidR="0006550C" w:rsidRPr="00E02269" w:rsidTr="00AA3781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AA3781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54A73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E54A73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AA3781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</w:t>
            </w:r>
            <w:r w:rsidRPr="00FA5B0B">
              <w:rPr>
                <w:b/>
                <w:sz w:val="22"/>
                <w:szCs w:val="22"/>
              </w:rPr>
              <w:lastRenderedPageBreak/>
              <w:t>мусульманского 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ислама и </w:t>
            </w:r>
            <w:r w:rsidRPr="00FA5B0B">
              <w:rPr>
                <w:rFonts w:ascii="Times New Roman" w:hAnsi="Times New Roman" w:cs="Times New Roman"/>
              </w:rPr>
              <w:lastRenderedPageBreak/>
              <w:t>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11, ПК 1.7</w:t>
            </w:r>
          </w:p>
        </w:tc>
      </w:tr>
      <w:tr w:rsidR="0006550C" w:rsidRPr="00E02269" w:rsidTr="00AA3781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AA378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AA3781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4, ПК 1.7</w:t>
            </w:r>
          </w:p>
        </w:tc>
      </w:tr>
      <w:tr w:rsidR="0006550C" w:rsidRPr="00E02269" w:rsidTr="00AA378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</w:t>
            </w:r>
            <w:r w:rsidRPr="00FA5B0B">
              <w:rPr>
                <w:b/>
                <w:sz w:val="22"/>
                <w:szCs w:val="22"/>
              </w:rPr>
              <w:lastRenderedPageBreak/>
              <w:t>Просвещения в 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A378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</w:t>
            </w:r>
            <w:r w:rsidRPr="00FA5B0B">
              <w:rPr>
                <w:sz w:val="22"/>
                <w:szCs w:val="22"/>
              </w:rPr>
              <w:lastRenderedPageBreak/>
              <w:t>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</w:t>
            </w:r>
            <w:r w:rsidRPr="00FA5B0B">
              <w:rPr>
                <w:i/>
                <w:sz w:val="22"/>
                <w:szCs w:val="22"/>
              </w:rPr>
              <w:lastRenderedPageBreak/>
              <w:t>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2, 4, 8</w:t>
            </w:r>
          </w:p>
        </w:tc>
      </w:tr>
      <w:tr w:rsidR="0006550C" w:rsidRPr="00E02269" w:rsidTr="00AA378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AA3781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A378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53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02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A3781"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Емохонова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Л.Г.МХК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чебник.-М.:ИЦ»Академия»,2017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Юлдашбаева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З.Б. Культурология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Лисичкина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Г.Д. Конспект лекций по истории культуры России: Учебное пособие/ Г.Д.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Андреева, О.И. Мировая художественная культура,: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О.И.Андреева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Культурология. История мировой культуры: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/ [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Г.С.Кнабе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, И.В. Кондаков, Т.Ф. Кузнецова и др.]; под ред.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Т.Ф.Кузнецовой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>)/ [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Ю.В.Манн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В.А.Зайцев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О.В.Стукалова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и др.]. – СПб.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:П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Соколова М.Ф. Мировая культура и искусство: учеб пособие /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М.В.Соколова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. – 3-е изд.,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3781">
        <w:rPr>
          <w:rFonts w:ascii="Times New Roman" w:hAnsi="Times New Roman"/>
          <w:bCs/>
          <w:sz w:val="24"/>
          <w:szCs w:val="24"/>
        </w:rPr>
        <w:t>Рябков В.М. Антология форм культурно – досуговой деятельности (Древний мир.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Древняя Греция и Рим. 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 xml:space="preserve">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AA378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A3781">
        <w:rPr>
          <w:rFonts w:ascii="Times New Roman" w:hAnsi="Times New Roman" w:cs="Times New Roman"/>
          <w:bCs/>
          <w:sz w:val="24"/>
          <w:szCs w:val="24"/>
        </w:rPr>
        <w:t>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proofErr w:type="spellStart"/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ДайректМедиаПаблишинг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CB2AF7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CB2AF7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CB2AF7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A3781">
        <w:rPr>
          <w:rFonts w:ascii="Times New Roman" w:hAnsi="Times New Roman" w:cs="Times New Roman"/>
          <w:sz w:val="24"/>
          <w:szCs w:val="24"/>
        </w:rPr>
        <w:t xml:space="preserve"> </w:t>
      </w:r>
      <w:r w:rsidRPr="00AA3781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AA3781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AA3781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Мо́на</w:t>
            </w:r>
            <w:proofErr w:type="spellEnd"/>
            <w:proofErr w:type="gramStart"/>
            <w:r w:rsidRPr="00AA37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AA3781">
              <w:rPr>
                <w:b/>
                <w:bCs/>
                <w:sz w:val="24"/>
                <w:szCs w:val="24"/>
              </w:rPr>
              <w:t>и́за</w:t>
            </w:r>
            <w:proofErr w:type="spellEnd"/>
            <w:r w:rsidRPr="00AA3781">
              <w:rPr>
                <w:b/>
                <w:bCs/>
                <w:sz w:val="24"/>
                <w:szCs w:val="24"/>
              </w:rPr>
              <w:t>»</w:t>
            </w:r>
            <w:r w:rsidRPr="00AA3781">
              <w:rPr>
                <w:sz w:val="24"/>
                <w:szCs w:val="24"/>
              </w:rPr>
              <w:t>, она же 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proofErr w:type="spellEnd"/>
            <w:r w:rsidRPr="00AA3781">
              <w:rPr>
                <w:sz w:val="24"/>
                <w:szCs w:val="24"/>
              </w:rPr>
              <w:t>»; (</w:t>
            </w:r>
            <w:hyperlink r:id="rId13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14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Портре́т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госпожи</w:t>
            </w:r>
            <w:proofErr w:type="gramStart"/>
            <w:r w:rsidRPr="00AA3781">
              <w:rPr>
                <w:i/>
                <w:iCs/>
                <w:sz w:val="24"/>
                <w:szCs w:val="24"/>
              </w:rPr>
              <w:t xml:space="preserve">́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AA3781">
              <w:rPr>
                <w:i/>
                <w:iCs/>
                <w:sz w:val="24"/>
                <w:szCs w:val="24"/>
              </w:rPr>
              <w:t>и́зы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дель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Джоко́ндо</w:t>
            </w:r>
            <w:proofErr w:type="spellEnd"/>
            <w:r w:rsidRPr="00AA3781">
              <w:rPr>
                <w:sz w:val="24"/>
                <w:szCs w:val="24"/>
              </w:rPr>
              <w:t xml:space="preserve">, </w:t>
            </w:r>
            <w:hyperlink r:id="rId15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16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17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18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19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20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21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 xml:space="preserve">Лизы </w:t>
              </w:r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Герардини</w:t>
              </w:r>
              <w:proofErr w:type="spellEnd"/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22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23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Франческо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дель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Джокондо</w:t>
            </w:r>
            <w:proofErr w:type="spellEnd"/>
            <w:r w:rsidRPr="00AA3781">
              <w:rPr>
                <w:sz w:val="24"/>
                <w:szCs w:val="24"/>
              </w:rPr>
              <w:t>, написанным около </w:t>
            </w:r>
            <w:hyperlink r:id="rId24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25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3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 xml:space="preserve">» </w:t>
            </w:r>
            <w:r w:rsidRPr="00FA5B0B">
              <w:rPr>
                <w:sz w:val="22"/>
                <w:szCs w:val="22"/>
              </w:rPr>
              <w:lastRenderedPageBreak/>
              <w:t>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4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CB2AF7">
              <w:fldChar w:fldCharType="begin"/>
            </w:r>
            <w:r w:rsidR="00CB2AF7">
              <w:instrText xml:space="preserve"> HYPERLINK "http://ru.wikipedia.org/</w:instrText>
            </w:r>
            <w:r w:rsidR="00CB2AF7">
              <w:instrText xml:space="preserve">wiki/%D0%93%D1%83%D0%B4%D0%BE%D0%BD" \o "Гудон" </w:instrText>
            </w:r>
            <w:r w:rsidR="00CB2AF7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CB2AF7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CB2AF7">
              <w:fldChar w:fldCharType="begin"/>
            </w:r>
            <w:r w:rsidR="00CB2AF7">
              <w:instrText xml:space="preserve"> HYPERLINK "http://ru.wikipedia.org/wiki/%</w:instrText>
            </w:r>
            <w:r w:rsidR="00CB2AF7">
              <w:instrText xml:space="preserve">D0%91%D1%83%D0%B0%D0%BB%D0%BE-%D0%94%D0%B5%D0%BF%D1%80%D0%B5%D0%BE,_%D0%9D%D0%B8%D0%BA%D0%BE%D0%BB%D0%B0" \o "Буало-Депрео, Никола" </w:instrText>
            </w:r>
            <w:r w:rsidR="00CB2AF7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CB2AF7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 xml:space="preserve">- умение пользоваться различными источниками информации о мировой </w:t>
            </w:r>
            <w:r w:rsidRPr="00FA5B0B">
              <w:rPr>
                <w:bCs/>
                <w:sz w:val="22"/>
                <w:szCs w:val="22"/>
              </w:rPr>
              <w:lastRenderedPageBreak/>
              <w:t>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3.1. При подготовке докладов, сообщений  использует различные источники с информацией о мировой художественной культуре (книги, периодические издания, </w:t>
            </w:r>
            <w:r w:rsidRPr="00FA5B0B">
              <w:rPr>
                <w:sz w:val="22"/>
                <w:szCs w:val="22"/>
              </w:rPr>
              <w:lastRenderedPageBreak/>
              <w:t>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- знает особенности </w:t>
            </w:r>
            <w:r w:rsidRPr="00FA5B0B">
              <w:rPr>
                <w:sz w:val="22"/>
                <w:szCs w:val="22"/>
              </w:rPr>
              <w:lastRenderedPageBreak/>
              <w:t>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Тестирование, устный </w:t>
            </w:r>
            <w:r w:rsidRPr="00FA5B0B">
              <w:rPr>
                <w:sz w:val="22"/>
                <w:szCs w:val="22"/>
              </w:rPr>
              <w:lastRenderedPageBreak/>
              <w:t>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</w:t>
      </w:r>
      <w:r w:rsidRPr="00E54A73">
        <w:rPr>
          <w:color w:val="333333"/>
        </w:rPr>
        <w:lastRenderedPageBreak/>
        <w:t>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 слово «Выполнил</w:t>
      </w:r>
      <w:proofErr w:type="gramEnd"/>
      <w:r w:rsidRPr="00E54A73">
        <w:rPr>
          <w:color w:val="333333"/>
        </w:rPr>
        <w:t>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1D736E92" wp14:editId="7065978D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0473E520" wp14:editId="6D29BB7D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 wp14:anchorId="750A9375" wp14:editId="31C7E2AB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5C4F9B01" wp14:editId="74FA49E1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 xml:space="preserve">. ун-т систем управления и радиоэлектроники (ТУСУР). Каф. </w:t>
      </w:r>
      <w:proofErr w:type="gramStart"/>
      <w:r w:rsidRPr="00E54A73">
        <w:rPr>
          <w:color w:val="333333"/>
        </w:rPr>
        <w:t>МСК</w:t>
      </w:r>
      <w:proofErr w:type="gramEnd"/>
      <w:r w:rsidRPr="00E54A73">
        <w:rPr>
          <w:color w:val="333333"/>
        </w:rPr>
        <w:t>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«Приор-</w:t>
      </w:r>
      <w:proofErr w:type="spellStart"/>
      <w:r w:rsidRPr="00E54A73">
        <w:rPr>
          <w:color w:val="333333"/>
        </w:rPr>
        <w:t>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Лавриненко,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C1" w:rsidRDefault="002327C1">
      <w:pPr>
        <w:spacing w:after="0" w:line="240" w:lineRule="auto"/>
      </w:pPr>
      <w:r>
        <w:separator/>
      </w:r>
    </w:p>
  </w:endnote>
  <w:endnote w:type="continuationSeparator" w:id="0">
    <w:p w:rsidR="002327C1" w:rsidRDefault="0023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81" w:rsidRDefault="00AA3781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AA3781" w:rsidRDefault="00AA3781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AA3781" w:rsidRDefault="00AA3781" w:rsidP="00A8363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AF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A3781" w:rsidRDefault="00AA3781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81" w:rsidRPr="002A674A" w:rsidRDefault="00AA3781" w:rsidP="00A836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AF7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C1" w:rsidRDefault="002327C1">
      <w:pPr>
        <w:spacing w:after="0" w:line="240" w:lineRule="auto"/>
      </w:pPr>
      <w:r>
        <w:separator/>
      </w:r>
    </w:p>
  </w:footnote>
  <w:footnote w:type="continuationSeparator" w:id="0">
    <w:p w:rsidR="002327C1" w:rsidRDefault="0023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6550C"/>
    <w:rsid w:val="000E6F83"/>
    <w:rsid w:val="00105A3A"/>
    <w:rsid w:val="00186FDA"/>
    <w:rsid w:val="001C122D"/>
    <w:rsid w:val="002327C1"/>
    <w:rsid w:val="00397E0B"/>
    <w:rsid w:val="0042691A"/>
    <w:rsid w:val="00445455"/>
    <w:rsid w:val="004605F3"/>
    <w:rsid w:val="005872D5"/>
    <w:rsid w:val="005B7610"/>
    <w:rsid w:val="00837435"/>
    <w:rsid w:val="0085635C"/>
    <w:rsid w:val="00A00169"/>
    <w:rsid w:val="00A438D6"/>
    <w:rsid w:val="00A83633"/>
    <w:rsid w:val="00AA3781"/>
    <w:rsid w:val="00B93F12"/>
    <w:rsid w:val="00C33DCE"/>
    <w:rsid w:val="00CB2AF7"/>
    <w:rsid w:val="00DA6CB6"/>
    <w:rsid w:val="00E54A73"/>
    <w:rsid w:val="00E55A1E"/>
    <w:rsid w:val="00E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0%D1%80%D0%B8%D0%B6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1%D0%B0%D1%80%D0%BE%D0%BA%D0%BA%D0%BE" TargetMode="External"/><Relationship Id="rId21" Type="http://schemas.openxmlformats.org/officeDocument/2006/relationships/hyperlink" Target="http://ru.wikipedia.org/wiki/%D0%9B%D0%B8%D0%B7%D0%B0_%D0%B4%D0%B5%D0%BB%D1%8C_%D0%94%D0%B6%D0%BE%D0%BA%D0%BE%D0%BD%D0%B4%D0%BE" TargetMode="External"/><Relationship Id="rId3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E%D0%BD%D0%B0%D1%80%D0%B4%D0%BE_%D0%B4%D0%B0_%D0%92%D0%B8%D0%BD%D1%87%D0%B8" TargetMode="External"/><Relationship Id="rId29" Type="http://schemas.openxmlformats.org/officeDocument/2006/relationships/hyperlink" Target="http://ru.wikipedia.org/wiki/%D0%AD%D1%81%D1%82%D0%B5%D1%82%D0%B8%D0%BA%D0%B0" TargetMode="External"/><Relationship Id="rId11" Type="http://schemas.openxmlformats.org/officeDocument/2006/relationships/hyperlink" Target="http://www.i-u.ru/biblio/" TargetMode="External"/><Relationship Id="rId24" Type="http://schemas.openxmlformats.org/officeDocument/2006/relationships/hyperlink" Target="http://ru.wikipedia.org/wiki/1503_%D0%B3%D0%BE%D0%B4" TargetMode="External"/><Relationship Id="rId32" Type="http://schemas.openxmlformats.org/officeDocument/2006/relationships/hyperlink" Target="http://ru.wikipedia.org/wiki/XVII" TargetMode="External"/><Relationship Id="rId37" Type="http://schemas.openxmlformats.org/officeDocument/2006/relationships/hyperlink" Target="http://ru.wikipedia.org/wiki/%D0%A0%D0%B0%D1%84%D0%B0%D1%8D%D0%BB%D1%8C" TargetMode="External"/><Relationship Id="rId40" Type="http://schemas.openxmlformats.org/officeDocument/2006/relationships/hyperlink" Target="http://ru.wikipedia.org/wiki/%D0%9F%D0%B8%D0%B3%D0%B0%D0%BB%D1%8C,_%D0%96%D0%B0%D0%BD-%D0%91%D0%B0%D1%82%D0%B8%D1%81%D1%82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C%D0%BE%D0%BB%D1%8C%D0%B5%D1%80" TargetMode="External"/><Relationship Id="rId66" Type="http://schemas.openxmlformats.org/officeDocument/2006/relationships/hyperlink" Target="http://sga46.ru/referaty-na-zak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2%D0%B0%D0%BB%D1%8C%D1%8F%D0%BD%D1%81%D0%BA%D0%B8%D0%B9_%D1%8F%D0%B7%D1%8B%D0%BA" TargetMode="External"/><Relationship Id="rId23" Type="http://schemas.openxmlformats.org/officeDocument/2006/relationships/hyperlink" Target="http://ru.wikipedia.org/wiki/%D0%A4%D0%BB%D0%BE%D1%80%D0%B5%D0%BD%D1%86%D0%B8%D1%8F" TargetMode="External"/><Relationship Id="rId2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820_%D0%B3%D0%BE%D0%B4" TargetMode="External"/><Relationship Id="rId10" Type="http://schemas.openxmlformats.org/officeDocument/2006/relationships/hyperlink" Target="http://www.culture-history.kiev.ua/" TargetMode="External"/><Relationship Id="rId19" Type="http://schemas.openxmlformats.org/officeDocument/2006/relationships/hyperlink" Target="http://ru.wikipedia.org/wiki/%D0%A4%D1%80%D0%B0%D0%BD%D1%86%D0%B8%D1%8F" TargetMode="External"/><Relationship Id="rId31" Type="http://schemas.openxmlformats.org/officeDocument/2006/relationships/hyperlink" Target="http://ru.wikipedia.org/wiki/%D0%9A%D1%83%D0%BB%D1%8C%D1%82%D1%83%D1%80%D0%B0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1730" TargetMode="External"/><Relationship Id="rId65" Type="http://schemas.openxmlformats.org/officeDocument/2006/relationships/hyperlink" Target="http://ru.wikipedia.org/wiki/%D0%92%D0%B5%D0%BD%D1%81%D0%BA%D0%B0%D1%8F_%D0%BA%D0%BB%D0%B0%D1%81%D1%81%D0%B8%D0%BA%D0%B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A4%D1%80%D0%B0%D0%BD%D1%86%D1%83%D0%B7%D1%81%D0%BA%D0%B8%D0%B9_%D1%8F%D0%B7%D1%8B%D0%BA" TargetMode="External"/><Relationship Id="rId22" Type="http://schemas.openxmlformats.org/officeDocument/2006/relationships/hyperlink" Target="http://ru.wikipedia.org/wiki/%D0%A8%D1%91%D0%BB%D0%BA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95%D0%B2%D1%80%D0%BE%D0%BF%D0%B0" TargetMode="External"/><Relationship Id="rId35" Type="http://schemas.openxmlformats.org/officeDocument/2006/relationships/hyperlink" Target="http://ru.wikipedia.org/wiki/%D0%A1%D1%80%D0%B5%D0%B4%D0%BD%D0%B8%D0%B5_%D0%B2%D0%B5%D0%BA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1%D0%B5%D1%82%D1%85%D0%BE%D0%B2%D0%B5%D0%BD,_%D0%9B%D1%8E%D0%B4%D0%B2%D0%B8%D0%B3_%D0%B2%D0%B0%D0%BD" TargetMode="External"/><Relationship Id="rId69" Type="http://schemas.openxmlformats.org/officeDocument/2006/relationships/image" Target="media/image3.png"/><Relationship Id="rId8" Type="http://schemas.openxmlformats.org/officeDocument/2006/relationships/footer" Target="footer1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kult-mira.ru/" TargetMode="External"/><Relationship Id="rId17" Type="http://schemas.openxmlformats.org/officeDocument/2006/relationships/hyperlink" Target="http://ru.wikipedia.org/wiki/%D0%9B%D1%83%D0%B2%D1%80" TargetMode="External"/><Relationship Id="rId25" Type="http://schemas.openxmlformats.org/officeDocument/2006/relationships/hyperlink" Target="http://ru.wikipedia.org/wiki/1505_%D0%B3%D0%BE%D0%B4" TargetMode="External"/><Relationship Id="rId33" Type="http://schemas.openxmlformats.org/officeDocument/2006/relationships/hyperlink" Target="http://ru.wikipedia.org/wiki/XIX" TargetMode="External"/><Relationship Id="rId38" Type="http://schemas.openxmlformats.org/officeDocument/2006/relationships/hyperlink" Target="http://ru.wikipedia.org/wiki/%D0%90%D1%84%D0%B8%D0%BD%D1%81%D0%BA%D0%B0%D1%8F_%D1%88%D0%BA%D0%BE%D0%BB%D0%B0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iki/%D0%9F%D0%BE%D1%80%D1%82%D1%80%D0%B5%D1%82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%D0%93%D0%B0%D0%B9%D0%B4%D0%BD,_%D0%A4%D1%80%D0%B0%D0%BD%D1%86_%D0%99%D0%BE%D0%B7%D0%B5%D1%84" TargetMode="External"/><Relationship Id="rId7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10459</Words>
  <Characters>59620</Characters>
  <Application>Microsoft Office Word</Application>
  <DocSecurity>4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2</cp:revision>
  <dcterms:created xsi:type="dcterms:W3CDTF">2020-12-15T05:39:00Z</dcterms:created>
  <dcterms:modified xsi:type="dcterms:W3CDTF">2020-12-15T05:39:00Z</dcterms:modified>
</cp:coreProperties>
</file>