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A21D4A">
        <w:rPr>
          <w:b/>
        </w:rPr>
        <w:t>1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A21D4A">
        <w:rPr>
          <w:b/>
        </w:rPr>
        <w:t>1 Народное художественное творчество</w:t>
      </w:r>
      <w:r>
        <w:rPr>
          <w:b/>
        </w:rPr>
        <w:t xml:space="preserve"> (по видам)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</w:t>
      </w:r>
      <w:proofErr w:type="spellStart"/>
      <w:r w:rsidRPr="00457511">
        <w:rPr>
          <w:sz w:val="28"/>
          <w:szCs w:val="28"/>
        </w:rPr>
        <w:t>Т</w:t>
      </w:r>
      <w:r w:rsidR="00D77673" w:rsidRPr="00457511">
        <w:rPr>
          <w:sz w:val="28"/>
          <w:szCs w:val="28"/>
        </w:rPr>
        <w:t>обольский</w:t>
      </w:r>
      <w:proofErr w:type="spellEnd"/>
      <w:r w:rsidR="00D77673" w:rsidRPr="00457511">
        <w:rPr>
          <w:sz w:val="28"/>
          <w:szCs w:val="28"/>
        </w:rPr>
        <w:t xml:space="preserve">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CE0CC8">
        <w:rPr>
          <w:sz w:val="28"/>
          <w:szCs w:val="28"/>
        </w:rPr>
        <w:t>Д</w:t>
      </w:r>
      <w:r w:rsidRPr="00457511">
        <w:rPr>
          <w:sz w:val="28"/>
          <w:szCs w:val="28"/>
        </w:rPr>
        <w:t>.0</w:t>
      </w:r>
      <w:r w:rsidR="00CE0CC8">
        <w:rPr>
          <w:sz w:val="28"/>
          <w:szCs w:val="28"/>
        </w:rPr>
        <w:t>1.01.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994752">
        <w:rPr>
          <w:bCs/>
          <w:sz w:val="28"/>
          <w:szCs w:val="28"/>
          <w:lang w:eastAsia="ru-RU"/>
        </w:rPr>
        <w:t>2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A21D4A">
        <w:t>1</w:t>
      </w:r>
      <w:r>
        <w:t>.02.</w:t>
      </w:r>
      <w:r w:rsidR="007B0E2E">
        <w:t>0</w:t>
      </w:r>
      <w:r w:rsidR="00A21D4A">
        <w:t>1</w:t>
      </w:r>
      <w:r>
        <w:t xml:space="preserve"> </w:t>
      </w:r>
      <w:r w:rsidR="00A21D4A">
        <w:t>Народное художественное творчество</w:t>
      </w:r>
      <w:r w:rsidR="00CE0CC8">
        <w:t xml:space="preserve"> (по видам)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E0CC8">
        <w:t>2</w:t>
      </w:r>
      <w:r w:rsidR="007B0E2E">
        <w:t>7</w:t>
      </w:r>
      <w:r w:rsidR="00D84A46">
        <w:t>.</w:t>
      </w:r>
      <w:r w:rsidR="00CE0CC8">
        <w:t>10</w:t>
      </w:r>
      <w:r w:rsidR="00D84A46">
        <w:t>.2014 №</w:t>
      </w:r>
      <w:r w:rsidR="00CC15FF">
        <w:t xml:space="preserve"> </w:t>
      </w:r>
      <w:r w:rsidR="00CE0CC8">
        <w:t>13</w:t>
      </w:r>
      <w:r w:rsidR="00A21D4A">
        <w:t>82</w:t>
      </w:r>
      <w:r w:rsidR="007B0E2E">
        <w:t>.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proofErr w:type="spellStart"/>
      <w:r w:rsidR="00264492">
        <w:rPr>
          <w:lang w:eastAsia="ru-RU"/>
        </w:rPr>
        <w:t>Тобольский</w:t>
      </w:r>
      <w:proofErr w:type="spellEnd"/>
      <w:r w:rsidR="00264492">
        <w:rPr>
          <w:lang w:eastAsia="ru-RU"/>
        </w:rPr>
        <w:t xml:space="preserve">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994752">
        <w:t>___</w:t>
      </w:r>
      <w:r w:rsidR="00D77673">
        <w:t xml:space="preserve"> </w:t>
      </w:r>
      <w:r w:rsidR="00D77673" w:rsidRPr="00A76403">
        <w:t xml:space="preserve"> от «</w:t>
      </w:r>
      <w:r w:rsidR="00994752">
        <w:t>___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</w:t>
      </w:r>
      <w:r w:rsidR="00994752">
        <w:t>2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proofErr w:type="spellStart"/>
      <w:r w:rsidR="00796B70">
        <w:t>Бикчандаева</w:t>
      </w:r>
      <w:proofErr w:type="spellEnd"/>
      <w:r w:rsidR="00796B70">
        <w:t xml:space="preserve">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lastRenderedPageBreak/>
              <w:t>20</w:t>
            </w:r>
          </w:p>
        </w:tc>
      </w:tr>
    </w:tbl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="00A21D4A">
        <w:rPr>
          <w:b/>
        </w:rPr>
        <w:t>Д</w:t>
      </w:r>
      <w:r>
        <w:rPr>
          <w:b/>
        </w:rPr>
        <w:t>.0</w:t>
      </w:r>
      <w:r w:rsidR="00A21D4A">
        <w:rPr>
          <w:b/>
        </w:rPr>
        <w:t>1.01.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A21D4A">
        <w:t>1</w:t>
      </w:r>
      <w:r>
        <w:t>.02.</w:t>
      </w:r>
      <w:r w:rsidR="00CE0CC8">
        <w:t>0</w:t>
      </w:r>
      <w:r w:rsidR="00A21D4A">
        <w:t>1</w:t>
      </w:r>
      <w:r w:rsidR="007B0E2E">
        <w:t xml:space="preserve"> </w:t>
      </w:r>
      <w:r>
        <w:t xml:space="preserve"> </w:t>
      </w:r>
      <w:r w:rsidR="00A21D4A">
        <w:t>Народное художественное творчество</w:t>
      </w:r>
      <w:r w:rsidR="00CE0CC8">
        <w:t xml:space="preserve"> (по видам)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адек-ватные</w:t>
      </w:r>
      <w:proofErr w:type="spellEnd"/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</w:t>
      </w:r>
      <w:r w:rsidRPr="001301BA">
        <w:rPr>
          <w:lang w:eastAsia="ru-RU"/>
        </w:rPr>
        <w:lastRenderedPageBreak/>
        <w:t>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владение знаниями о </w:t>
      </w:r>
      <w:proofErr w:type="spellStart"/>
      <w:r w:rsidRPr="001301BA">
        <w:rPr>
          <w:lang w:eastAsia="ru-RU"/>
        </w:rPr>
        <w:t>социокультурной</w:t>
      </w:r>
      <w:proofErr w:type="spellEnd"/>
      <w:r w:rsidRPr="001301BA">
        <w:rPr>
          <w:lang w:eastAsia="ru-RU"/>
        </w:rPr>
        <w:t xml:space="preserve"> специфике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796B70">
        <w:t>1</w:t>
      </w:r>
      <w:r w:rsidR="00A46B27">
        <w:t>25</w:t>
      </w:r>
      <w:r w:rsidRPr="002A2117">
        <w:t xml:space="preserve">   час</w:t>
      </w:r>
      <w:r w:rsidR="00A46B27">
        <w:t>ов</w:t>
      </w:r>
      <w:r w:rsidRPr="002A2117">
        <w:t>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796B70">
        <w:t>86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A46B27">
        <w:t>39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A46B27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125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5046B5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5046B5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A46B27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  <w:bookmarkStart w:id="0" w:name="_GoBack"/>
            <w:bookmarkEnd w:id="0"/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0138" w:type="dxa"/>
        <w:tblInd w:w="-318" w:type="dxa"/>
        <w:tblLayout w:type="fixed"/>
        <w:tblLook w:val="0000"/>
      </w:tblPr>
      <w:tblGrid>
        <w:gridCol w:w="2487"/>
        <w:gridCol w:w="6728"/>
        <w:gridCol w:w="2693"/>
        <w:gridCol w:w="1843"/>
        <w:gridCol w:w="1701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994752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45751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50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</w:t>
            </w:r>
            <w:r w:rsidR="005046B5">
              <w:rPr>
                <w:b/>
                <w:bCs/>
                <w:sz w:val="20"/>
                <w:szCs w:val="20"/>
              </w:rPr>
              <w:t>42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45751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457511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обучающихся: выполнение </w:t>
            </w:r>
            <w:r>
              <w:rPr>
                <w:b/>
                <w:bCs/>
                <w:i/>
              </w:rPr>
              <w:lastRenderedPageBreak/>
              <w:t>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96B70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796B7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6B70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796B70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796B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796B70">
              <w:rPr>
                <w:b/>
                <w:bCs/>
                <w:sz w:val="20"/>
                <w:szCs w:val="20"/>
              </w:rPr>
              <w:t>Тема 2.4.</w:t>
            </w:r>
            <w:r w:rsidRPr="00796B70">
              <w:rPr>
                <w:bCs/>
                <w:sz w:val="20"/>
                <w:szCs w:val="20"/>
              </w:rPr>
              <w:t xml:space="preserve">  </w:t>
            </w:r>
          </w:p>
          <w:p w:rsidR="00551A6C" w:rsidRPr="00796B70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796B70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lastRenderedPageBreak/>
              <w:t>there is/there are.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994752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</w:t>
            </w:r>
            <w:r w:rsidRPr="00457511">
              <w:rPr>
                <w:b/>
                <w:sz w:val="20"/>
                <w:szCs w:val="20"/>
              </w:rPr>
              <w:lastRenderedPageBreak/>
              <w:t xml:space="preserve">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A21D4A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A21D4A">
              <w:rPr>
                <w:b/>
                <w:bCs/>
                <w:sz w:val="20"/>
                <w:szCs w:val="20"/>
              </w:rPr>
              <w:t>а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7511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457511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F246D9" w:rsidP="00F246D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 семестр (32 часа)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796B70">
              <w:rPr>
                <w:b/>
                <w:bCs/>
                <w:i/>
                <w:sz w:val="20"/>
                <w:szCs w:val="20"/>
              </w:rPr>
              <w:t xml:space="preserve">Самостоятельная работа обучающихся: выполнение упражнений, </w:t>
            </w:r>
            <w:r w:rsidRPr="00796B70">
              <w:rPr>
                <w:b/>
                <w:bCs/>
                <w:i/>
                <w:sz w:val="20"/>
                <w:szCs w:val="20"/>
              </w:rPr>
              <w:lastRenderedPageBreak/>
              <w:t>повторение лексики.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lastRenderedPageBreak/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796B70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796B70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796B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796B70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796B70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994752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994752">
        <w:trPr>
          <w:trHeight w:val="28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046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994752" w:rsidRDefault="00994752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994752" w:rsidRDefault="00994752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994752" w:rsidRDefault="00994752" w:rsidP="009947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994752" w:rsidRDefault="00994752" w:rsidP="00994752"/>
    <w:p w:rsidR="00994752" w:rsidRPr="00994752" w:rsidRDefault="00994752" w:rsidP="00994752"/>
    <w:p w:rsidR="00994752" w:rsidRDefault="00994752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  <w:sectPr w:rsidR="00994752" w:rsidSect="00921AC9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Агабекян</w:t>
      </w:r>
      <w:proofErr w:type="spellEnd"/>
      <w:r>
        <w:rPr>
          <w:bCs/>
          <w:sz w:val="28"/>
          <w:szCs w:val="28"/>
        </w:rPr>
        <w:t xml:space="preserve">, И.П. Английский язык: учебник/ </w:t>
      </w:r>
      <w:proofErr w:type="spellStart"/>
      <w:r>
        <w:rPr>
          <w:bCs/>
          <w:sz w:val="28"/>
          <w:szCs w:val="28"/>
        </w:rPr>
        <w:t>И.П.Агабекян</w:t>
      </w:r>
      <w:proofErr w:type="spellEnd"/>
      <w:r>
        <w:rPr>
          <w:bCs/>
          <w:sz w:val="28"/>
          <w:szCs w:val="28"/>
        </w:rPr>
        <w:t xml:space="preserve"> — Ростов Н/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:Ф</w:t>
      </w:r>
      <w:proofErr w:type="gramEnd"/>
      <w:r>
        <w:rPr>
          <w:bCs/>
          <w:sz w:val="28"/>
          <w:szCs w:val="28"/>
        </w:rPr>
        <w:t>еникс</w:t>
      </w:r>
      <w:proofErr w:type="spellEnd"/>
      <w:r>
        <w:rPr>
          <w:bCs/>
          <w:sz w:val="28"/>
          <w:szCs w:val="28"/>
        </w:rPr>
        <w:t>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60436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3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60436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4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60436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60436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60436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7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3F2207" w:rsidRDefault="003F2207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3.</w:t>
      </w:r>
      <w:r w:rsidR="002C3A9D">
        <w:t>3</w:t>
      </w:r>
      <w:r>
        <w:t xml:space="preserve"> Адаптация содержания образования в рамках реализации программы для обучающихся с ОВЗ и инвалидов (слабослышащих</w:t>
      </w:r>
      <w:r w:rsidRPr="003F2207">
        <w:t>,</w:t>
      </w:r>
      <w:r>
        <w:t xml:space="preserve"> слабовидящих</w:t>
      </w:r>
      <w:r w:rsidRPr="003F2207">
        <w:t>,</w:t>
      </w:r>
      <w:r>
        <w:t xml:space="preserve"> с нарушениями </w:t>
      </w:r>
      <w:proofErr w:type="spellStart"/>
      <w:r>
        <w:t>опорно</w:t>
      </w:r>
      <w:proofErr w:type="spellEnd"/>
      <w:r>
        <w:t xml:space="preserve"> – двигательного аппарата</w:t>
      </w:r>
      <w:r w:rsidRPr="003F2207">
        <w:t>,</w:t>
      </w:r>
      <w:r>
        <w:t xml:space="preserve"> с интеллектуальными нарушениями).</w:t>
      </w: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Pr="003F2207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lastRenderedPageBreak/>
        <w:t>Адаптация содержания образования в рамках реализации программы для  обучающихся с ОВЗ</w:t>
      </w:r>
      <w:r w:rsidRPr="00792474">
        <w:rPr>
          <w:highlight w:val="yellow"/>
        </w:rPr>
        <w:t> </w:t>
      </w:r>
      <w:r w:rsidRPr="00792474">
        <w:rPr>
          <w:b/>
          <w:bCs/>
          <w:highlight w:val="yellow"/>
        </w:rPr>
        <w:t>и инвалидов</w:t>
      </w:r>
      <w:r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 xml:space="preserve">Реализация программы для этой группы </w:t>
      </w:r>
      <w:proofErr w:type="gramStart"/>
      <w:r w:rsidRPr="00792474">
        <w:rPr>
          <w:highlight w:val="yellow"/>
        </w:rPr>
        <w:t>обучающихся</w:t>
      </w:r>
      <w:proofErr w:type="gramEnd"/>
      <w:r w:rsidRPr="00792474">
        <w:rPr>
          <w:highlight w:val="yellow"/>
        </w:rPr>
        <w:t xml:space="preserve"> требует создания </w:t>
      </w:r>
      <w:proofErr w:type="spellStart"/>
      <w:r w:rsidRPr="00792474">
        <w:rPr>
          <w:highlight w:val="yellow"/>
        </w:rPr>
        <w:t>безбарьерной</w:t>
      </w:r>
      <w:proofErr w:type="spellEnd"/>
      <w:r w:rsidRPr="00792474">
        <w:rPr>
          <w:highlight w:val="yellow"/>
        </w:rPr>
        <w:t xml:space="preserve">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792474">
        <w:rPr>
          <w:highlight w:val="yellow"/>
        </w:rPr>
        <w:t>ФОСы</w:t>
      </w:r>
      <w:proofErr w:type="spellEnd"/>
      <w:r w:rsidRPr="00792474">
        <w:rPr>
          <w:highlight w:val="yellow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792474">
        <w:rPr>
          <w:highlight w:val="yellow"/>
        </w:rPr>
        <w:t>гаджетов</w:t>
      </w:r>
      <w:proofErr w:type="spellEnd"/>
      <w:r w:rsidRPr="00792474">
        <w:rPr>
          <w:highlight w:val="yellow"/>
        </w:rPr>
        <w:t xml:space="preserve"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792474">
        <w:rPr>
          <w:highlight w:val="yellow"/>
        </w:rPr>
        <w:t>стереопроекции</w:t>
      </w:r>
      <w:proofErr w:type="spellEnd"/>
      <w:r w:rsidRPr="00792474">
        <w:rPr>
          <w:highlight w:val="yellow"/>
        </w:rPr>
        <w:t xml:space="preserve">, голограммы и др.); </w:t>
      </w:r>
      <w:proofErr w:type="spellStart"/>
      <w:r w:rsidRPr="00792474">
        <w:rPr>
          <w:highlight w:val="yellow"/>
        </w:rPr>
        <w:t>звукотехнические</w:t>
      </w:r>
      <w:proofErr w:type="spellEnd"/>
      <w:r w:rsidRPr="00792474">
        <w:rPr>
          <w:highlight w:val="yellow"/>
        </w:rPr>
        <w:t xml:space="preserve"> устройства (стереомагнитофоны, микшеры, эквалайзеры, </w:t>
      </w:r>
      <w:proofErr w:type="spellStart"/>
      <w:r w:rsidRPr="00792474">
        <w:rPr>
          <w:highlight w:val="yellow"/>
        </w:rPr>
        <w:t>стереоусилители</w:t>
      </w:r>
      <w:proofErr w:type="spellEnd"/>
      <w:r w:rsidRPr="00792474">
        <w:rPr>
          <w:highlight w:val="yellow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0065" w:type="dxa"/>
        <w:tblInd w:w="108" w:type="dxa"/>
        <w:tblLayout w:type="fixed"/>
        <w:tblLook w:val="0000"/>
      </w:tblPr>
      <w:tblGrid>
        <w:gridCol w:w="4111"/>
        <w:gridCol w:w="3969"/>
        <w:gridCol w:w="1985"/>
      </w:tblGrid>
      <w:tr w:rsidR="00A95461" w:rsidTr="0099475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94752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</w:t>
            </w:r>
            <w:r>
              <w:lastRenderedPageBreak/>
              <w:t xml:space="preserve">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значения изученных 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Подбирает необходимый синоним слова в зависимости от правильного </w:t>
            </w:r>
            <w:r>
              <w:lastRenderedPageBreak/>
              <w:t>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94752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lastRenderedPageBreak/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 xml:space="preserve">- умение определять свои потребности в изучении  дисциплины и выбирать </w:t>
            </w:r>
            <w:r w:rsidRPr="000D740F">
              <w:lastRenderedPageBreak/>
              <w:t>соответствующие способы его изучения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lastRenderedPageBreak/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/>
      </w:tblPr>
      <w:tblGrid>
        <w:gridCol w:w="3485"/>
        <w:gridCol w:w="3117"/>
        <w:gridCol w:w="3676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94752">
      <w:footnotePr>
        <w:pos w:val="beneathText"/>
      </w:footnotePr>
      <w:pgSz w:w="11905" w:h="16837"/>
      <w:pgMar w:top="1134" w:right="851" w:bottom="1134" w:left="992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83" w:rsidRDefault="00FC1E83">
      <w:r>
        <w:separator/>
      </w:r>
    </w:p>
  </w:endnote>
  <w:endnote w:type="continuationSeparator" w:id="0">
    <w:p w:rsidR="00FC1E83" w:rsidRDefault="00FC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60436C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D84A46" w:rsidRDefault="0060436C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D84A46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994752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60436C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994752">
      <w:rPr>
        <w:noProof/>
      </w:rPr>
      <w:t>20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83" w:rsidRDefault="00FC1E83">
      <w:r>
        <w:separator/>
      </w:r>
    </w:p>
  </w:footnote>
  <w:footnote w:type="continuationSeparator" w:id="0">
    <w:p w:rsidR="00FC1E83" w:rsidRDefault="00FC1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E580D"/>
    <w:rsid w:val="00011EB3"/>
    <w:rsid w:val="000A1649"/>
    <w:rsid w:val="001301BA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60940"/>
    <w:rsid w:val="00363BF9"/>
    <w:rsid w:val="00365F44"/>
    <w:rsid w:val="003C517C"/>
    <w:rsid w:val="003F2207"/>
    <w:rsid w:val="004147B0"/>
    <w:rsid w:val="00457511"/>
    <w:rsid w:val="004D6BE2"/>
    <w:rsid w:val="005046B5"/>
    <w:rsid w:val="00551A6C"/>
    <w:rsid w:val="0060436C"/>
    <w:rsid w:val="00654AFD"/>
    <w:rsid w:val="00687629"/>
    <w:rsid w:val="00792474"/>
    <w:rsid w:val="00796B70"/>
    <w:rsid w:val="007A7434"/>
    <w:rsid w:val="007B0E2E"/>
    <w:rsid w:val="007C0A35"/>
    <w:rsid w:val="007E209F"/>
    <w:rsid w:val="007F07F7"/>
    <w:rsid w:val="007F6B8B"/>
    <w:rsid w:val="008A4BAB"/>
    <w:rsid w:val="008E7F79"/>
    <w:rsid w:val="00921AC9"/>
    <w:rsid w:val="009259B5"/>
    <w:rsid w:val="00994752"/>
    <w:rsid w:val="00A03197"/>
    <w:rsid w:val="00A21D4A"/>
    <w:rsid w:val="00A46B27"/>
    <w:rsid w:val="00A95461"/>
    <w:rsid w:val="00B5261F"/>
    <w:rsid w:val="00BD1746"/>
    <w:rsid w:val="00C05CA0"/>
    <w:rsid w:val="00C5475A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823B5"/>
    <w:rsid w:val="00EB3314"/>
    <w:rsid w:val="00F246D9"/>
    <w:rsid w:val="00F66956"/>
    <w:rsid w:val="00FB5AC3"/>
    <w:rsid w:val="00FC1E83"/>
    <w:rsid w:val="00FC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ro.ranep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annic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ingvoliv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7266-1C2D-4E8B-96B8-4F9D4C63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26</cp:revision>
  <dcterms:created xsi:type="dcterms:W3CDTF">2020-06-17T05:29:00Z</dcterms:created>
  <dcterms:modified xsi:type="dcterms:W3CDTF">2022-11-15T09:19:00Z</dcterms:modified>
</cp:coreProperties>
</file>