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A5" w:rsidRPr="00CA6E52" w:rsidRDefault="000656A5" w:rsidP="000656A5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47418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A47418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A47418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 w:rsidR="00A47418">
        <w:rPr>
          <w:rFonts w:ascii="Times New Roman" w:hAnsi="Times New Roman" w:cs="Times New Roman"/>
          <w:b/>
          <w:sz w:val="24"/>
          <w:szCs w:val="24"/>
        </w:rPr>
        <w:t>3Инструментальное исполнительство</w:t>
      </w:r>
    </w:p>
    <w:p w:rsidR="000656A5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 w:rsidR="00A47418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</w:p>
    <w:p w:rsidR="000656A5" w:rsidRPr="00D51EF6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Pr="00D51EF6" w:rsidRDefault="000656A5" w:rsidP="000656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656A5" w:rsidRPr="00D51EF6" w:rsidRDefault="000656A5" w:rsidP="00065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656A5" w:rsidRPr="00202844" w:rsidRDefault="000656A5" w:rsidP="000656A5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0656A5" w:rsidRPr="00DA477E" w:rsidTr="007659EC">
        <w:trPr>
          <w:trHeight w:val="939"/>
        </w:trPr>
        <w:tc>
          <w:tcPr>
            <w:tcW w:w="10046" w:type="dxa"/>
          </w:tcPr>
          <w:p w:rsidR="000656A5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656A5" w:rsidRPr="00D51EF6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0656A5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656A5" w:rsidRPr="00DA477E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EC2DBF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6A5" w:rsidRPr="00EC2DBF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Pr="00680894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Pr="00D51EF6" w:rsidRDefault="003905E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0656A5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656A5" w:rsidRDefault="000656A5" w:rsidP="0060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 xml:space="preserve">3Инструментальное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>90.</w:t>
      </w: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4B7697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272800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 научных дисциплин»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905E5">
        <w:rPr>
          <w:rFonts w:ascii="Times New Roman" w:hAnsi="Times New Roman"/>
          <w:sz w:val="24"/>
          <w:szCs w:val="24"/>
        </w:rPr>
        <w:t>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037AA" w:rsidRPr="0013713C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037AA" w:rsidRDefault="006037AA" w:rsidP="006037A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823BB0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6037AA" w:rsidTr="006135A9">
        <w:trPr>
          <w:trHeight w:val="274"/>
        </w:trPr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6037AA" w:rsidRPr="00823BB0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6037AA" w:rsidRPr="00823BB0" w:rsidRDefault="006135A9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6037AA" w:rsidRPr="00823BB0" w:rsidRDefault="006037AA" w:rsidP="006135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35A9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6037AA" w:rsidRPr="00823BB0" w:rsidRDefault="006037AA" w:rsidP="006135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35A9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6037AA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FB6EB1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Pr="00FB6EB1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6037AA" w:rsidRPr="00FB6EB1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037AA" w:rsidRDefault="006037A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caps/>
        </w:rPr>
      </w:pP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инструментов)углубленной подготовки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6037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6037AA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6037AA" w:rsidRDefault="006037AA" w:rsidP="006037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нейустойчивый интерес.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решенияпрофессиональных задач, профессионального и личностного развития.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коллегами,руководством.</w:t>
      </w:r>
    </w:p>
    <w:p w:rsidR="006037AA" w:rsidRPr="00D11CFB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заниматьсясамообразованием, осознанно планировать повышение квалификации.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6037AA"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4B7697"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>1</w:t>
      </w:r>
      <w:r w:rsidR="006037AA"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>часов.</w:t>
      </w:r>
      <w:r w:rsidR="006037AA">
        <w:rPr>
          <w:rFonts w:ascii="Times New Roman" w:hAnsi="Times New Roman" w:cs="Times New Roman"/>
          <w:sz w:val="24"/>
          <w:szCs w:val="24"/>
        </w:rPr>
        <w:tab/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6037AA" w:rsidRPr="000C4FE6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Pr="000C4FE6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037AA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037AA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6037AA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FB459D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6037AA" w:rsidSect="00FB459D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037AA" w:rsidRPr="000A2AB7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037AA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Pr="00032A0C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дисциплиныОГСЭ.02.  История</w:t>
      </w: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6037AA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6037AA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686CE5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6037AA" w:rsidRPr="00032A0C" w:rsidRDefault="006037AA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6037AA" w:rsidRPr="00032A0C" w:rsidRDefault="006037AA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6037AA" w:rsidRPr="00032A0C" w:rsidRDefault="006037AA" w:rsidP="00FC7719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6037AA" w:rsidRPr="00032A0C" w:rsidRDefault="006037AA" w:rsidP="00FC7719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конце 20-21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Особенности отношений с европейскими странами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6037AA" w:rsidRPr="00032A0C" w:rsidRDefault="006037AA" w:rsidP="00686CE5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686CE5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Территориальная целостность России, уважение прав ее населения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соседних народов – главное условие политического развития</w:t>
            </w:r>
          </w:p>
          <w:p w:rsidR="006037AA" w:rsidRPr="00032A0C" w:rsidRDefault="006037AA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  <w:r w:rsidR="004B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6037AA" w:rsidRPr="00D11CFB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6037AA" w:rsidRPr="00D11CFB" w:rsidSect="006037AA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E07D8A" w:rsidRDefault="00E07D8A" w:rsidP="00E07D8A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E07D8A" w:rsidRDefault="00E07D8A" w:rsidP="00E07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07D8A" w:rsidRDefault="00E07D8A" w:rsidP="00E07D8A"/>
    <w:p w:rsidR="00E07D8A" w:rsidRPr="006B4821" w:rsidRDefault="00E07D8A" w:rsidP="00E07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07D8A" w:rsidRPr="00380F08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771" w:rsidRDefault="00E07D8A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162D6">
        <w:rPr>
          <w:rFonts w:ascii="Times New Roman" w:hAnsi="Times New Roman"/>
          <w:sz w:val="24"/>
          <w:szCs w:val="24"/>
        </w:rPr>
        <w:t>ОГСЭ.02 История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="00316771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316771">
        <w:rPr>
          <w:rFonts w:ascii="Times New Roman" w:hAnsi="Times New Roman"/>
          <w:sz w:val="24"/>
          <w:szCs w:val="24"/>
        </w:rPr>
        <w:t>среднего профессионального</w:t>
      </w:r>
      <w:r w:rsidR="00316771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316771">
        <w:rPr>
          <w:rFonts w:ascii="Times New Roman" w:hAnsi="Times New Roman"/>
          <w:sz w:val="24"/>
          <w:szCs w:val="24"/>
        </w:rPr>
        <w:t xml:space="preserve"> ППССЗ</w:t>
      </w:r>
      <w:r w:rsidR="00316771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316771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316771"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 w:rsidR="00316771">
        <w:rPr>
          <w:rFonts w:ascii="Times New Roman" w:hAnsi="Times New Roman"/>
          <w:sz w:val="24"/>
          <w:szCs w:val="24"/>
        </w:rPr>
        <w:t xml:space="preserve">в </w:t>
      </w:r>
      <w:r w:rsidR="00316771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316771" w:rsidRPr="006F373E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07D8A" w:rsidRPr="00723BBE" w:rsidRDefault="00E07D8A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E07D8A" w:rsidRPr="00380F08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07D8A" w:rsidRDefault="00E07D8A" w:rsidP="00E07D8A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E07D8A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E07D8A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E07D8A" w:rsidRDefault="00E07D8A" w:rsidP="00E07D8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07D8A" w:rsidRPr="004369B3" w:rsidRDefault="00E07D8A" w:rsidP="00E07D8A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07D8A" w:rsidRPr="004369B3" w:rsidRDefault="00E07D8A" w:rsidP="00E07D8A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07D8A" w:rsidRPr="004369B3" w:rsidRDefault="00E07D8A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07D8A" w:rsidRPr="004369B3" w:rsidRDefault="00E07D8A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07D8A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07D8A" w:rsidRPr="004369B3" w:rsidRDefault="00CC5B75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07D8A" w:rsidRDefault="00E07D8A" w:rsidP="00E07D8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8A" w:rsidRPr="00004200" w:rsidRDefault="00E07D8A" w:rsidP="00E07D8A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E07D8A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07D8A" w:rsidRPr="00AE6BB2" w:rsidRDefault="00E07D8A" w:rsidP="00E07D8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7D8A" w:rsidRDefault="00E07D8A" w:rsidP="00E07D8A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07D8A" w:rsidRPr="006B4821" w:rsidRDefault="00E07D8A" w:rsidP="00E07D8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07D8A" w:rsidRPr="006B4821" w:rsidRDefault="00E07D8A" w:rsidP="00E07D8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07D8A" w:rsidRPr="006B4821" w:rsidRDefault="00E07D8A" w:rsidP="00E07D8A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07D8A" w:rsidRPr="006B4821" w:rsidRDefault="00E07D8A" w:rsidP="00E07D8A"/>
    <w:p w:rsidR="00E07D8A" w:rsidRPr="00680894" w:rsidRDefault="00E07D8A" w:rsidP="00E07D8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0"/>
        <w:gridCol w:w="2107"/>
      </w:tblGrid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07D8A" w:rsidRPr="00680894" w:rsidRDefault="00E07D8A" w:rsidP="00E0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07D8A" w:rsidRPr="00680894" w:rsidRDefault="00E07D8A" w:rsidP="00E07D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E07D8A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D8A" w:rsidRPr="0094341B" w:rsidRDefault="00E07D8A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E07D8A" w:rsidRPr="00A60EB5" w:rsidRDefault="00E07D8A" w:rsidP="00E07D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07D8A" w:rsidRDefault="00E07D8A" w:rsidP="00E0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8A" w:rsidRDefault="00E07D8A" w:rsidP="00E0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07D8A" w:rsidRDefault="00E07D8A" w:rsidP="00E07D8A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07D8A" w:rsidRPr="00320070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07D8A" w:rsidRPr="00F74F59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07D8A" w:rsidRPr="00320070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07D8A" w:rsidRPr="00F74F59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07D8A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07D8A" w:rsidRDefault="00E07D8A" w:rsidP="00E07D8A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E07D8A" w:rsidRPr="00320070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07D8A" w:rsidRPr="00320070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07D8A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E07D8A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07D8A" w:rsidRPr="00320070" w:rsidSect="00E07D8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07D8A" w:rsidRPr="00320070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07D8A" w:rsidRPr="00682C28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07D8A" w:rsidRPr="009B7B9F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Pr="00682C28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07D8A" w:rsidRPr="00682C28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07D8A" w:rsidRPr="00737D9E" w:rsidRDefault="00E07D8A" w:rsidP="00E07D8A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07D8A" w:rsidRPr="00320070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07D8A" w:rsidRPr="00320070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E07D8A" w:rsidRPr="00320070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07D8A" w:rsidRPr="003B4206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07D8A" w:rsidRDefault="00E07D8A" w:rsidP="00E07D8A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07D8A" w:rsidRPr="00320070" w:rsidRDefault="00E07D8A" w:rsidP="00E07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07D8A" w:rsidRPr="0000406B" w:rsidRDefault="00E07D8A" w:rsidP="00E07D8A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07D8A" w:rsidRPr="0000406B" w:rsidRDefault="00E07D8A" w:rsidP="00E07D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07D8A" w:rsidRPr="0000406B" w:rsidRDefault="00E07D8A" w:rsidP="00E07D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07D8A" w:rsidRPr="007C7B96" w:rsidRDefault="00E07D8A" w:rsidP="00E07D8A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07D8A" w:rsidRPr="0000406B" w:rsidRDefault="00E07D8A" w:rsidP="00E07D8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07D8A" w:rsidRPr="007C7B96" w:rsidRDefault="00E07D8A" w:rsidP="00E07D8A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07D8A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07D8A" w:rsidRPr="008D22FE" w:rsidRDefault="00E07D8A" w:rsidP="00E07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D8A" w:rsidRPr="008D22FE" w:rsidRDefault="00E07D8A" w:rsidP="00E07D8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07D8A" w:rsidRPr="007C7B96" w:rsidRDefault="00E07D8A" w:rsidP="00E07D8A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07D8A" w:rsidRDefault="00E07D8A" w:rsidP="00E07D8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sectPr w:rsidR="00E07D8A" w:rsidSect="00F4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4BA" w:rsidRDefault="004F44BA" w:rsidP="00F478B2">
      <w:pPr>
        <w:spacing w:after="0" w:line="240" w:lineRule="auto"/>
      </w:pPr>
      <w:r>
        <w:separator/>
      </w:r>
    </w:p>
  </w:endnote>
  <w:endnote w:type="continuationSeparator" w:id="1">
    <w:p w:rsidR="004F44BA" w:rsidRDefault="004F44BA" w:rsidP="00F4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9D" w:rsidRDefault="00CC5B75" w:rsidP="00FB45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45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59D" w:rsidRDefault="00FB459D" w:rsidP="00FB45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FB459D" w:rsidRDefault="00CC5B75">
        <w:pPr>
          <w:pStyle w:val="a5"/>
          <w:jc w:val="right"/>
        </w:pPr>
        <w:r>
          <w:fldChar w:fldCharType="begin"/>
        </w:r>
        <w:r w:rsidR="000B4108">
          <w:instrText xml:space="preserve"> PAGE   \* MERGEFORMAT </w:instrText>
        </w:r>
        <w:r>
          <w:fldChar w:fldCharType="separate"/>
        </w:r>
        <w:r w:rsidR="003905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459D" w:rsidRDefault="00FB459D" w:rsidP="00FB459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7"/>
      <w:docPartObj>
        <w:docPartGallery w:val="Page Numbers (Bottom of Page)"/>
        <w:docPartUnique/>
      </w:docPartObj>
    </w:sdtPr>
    <w:sdtContent>
      <w:p w:rsidR="00FB459D" w:rsidRDefault="00CC5B75">
        <w:pPr>
          <w:pStyle w:val="a5"/>
          <w:jc w:val="right"/>
        </w:pPr>
        <w:r>
          <w:fldChar w:fldCharType="begin"/>
        </w:r>
        <w:r w:rsidR="000B4108">
          <w:instrText xml:space="preserve"> PAGE   \* MERGEFORMAT </w:instrText>
        </w:r>
        <w:r>
          <w:fldChar w:fldCharType="separate"/>
        </w:r>
        <w:r w:rsidR="003905E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B459D" w:rsidRDefault="00FB45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4BA" w:rsidRDefault="004F44BA" w:rsidP="00F478B2">
      <w:pPr>
        <w:spacing w:after="0" w:line="240" w:lineRule="auto"/>
      </w:pPr>
      <w:r>
        <w:separator/>
      </w:r>
    </w:p>
  </w:footnote>
  <w:footnote w:type="continuationSeparator" w:id="1">
    <w:p w:rsidR="004F44BA" w:rsidRDefault="004F44BA" w:rsidP="00F4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656A5"/>
    <w:rsid w:val="000B4108"/>
    <w:rsid w:val="002104F7"/>
    <w:rsid w:val="0022042B"/>
    <w:rsid w:val="00266037"/>
    <w:rsid w:val="00316771"/>
    <w:rsid w:val="0035234B"/>
    <w:rsid w:val="0037667E"/>
    <w:rsid w:val="003905E5"/>
    <w:rsid w:val="00390656"/>
    <w:rsid w:val="0040338B"/>
    <w:rsid w:val="00452F8C"/>
    <w:rsid w:val="0049557F"/>
    <w:rsid w:val="004A58FA"/>
    <w:rsid w:val="004B7697"/>
    <w:rsid w:val="004E0CEF"/>
    <w:rsid w:val="004F44BA"/>
    <w:rsid w:val="00502D0A"/>
    <w:rsid w:val="00535FFF"/>
    <w:rsid w:val="006018EA"/>
    <w:rsid w:val="006037AA"/>
    <w:rsid w:val="006135A9"/>
    <w:rsid w:val="00686CE5"/>
    <w:rsid w:val="006D5EA1"/>
    <w:rsid w:val="008537A8"/>
    <w:rsid w:val="00860C7E"/>
    <w:rsid w:val="00876652"/>
    <w:rsid w:val="008E7962"/>
    <w:rsid w:val="00926629"/>
    <w:rsid w:val="00A17A62"/>
    <w:rsid w:val="00A47418"/>
    <w:rsid w:val="00A71102"/>
    <w:rsid w:val="00B0407A"/>
    <w:rsid w:val="00B556A4"/>
    <w:rsid w:val="00C651A2"/>
    <w:rsid w:val="00CC5B75"/>
    <w:rsid w:val="00D162D6"/>
    <w:rsid w:val="00D55C50"/>
    <w:rsid w:val="00DC7EC1"/>
    <w:rsid w:val="00E07D8A"/>
    <w:rsid w:val="00E76570"/>
    <w:rsid w:val="00E77497"/>
    <w:rsid w:val="00E90DF3"/>
    <w:rsid w:val="00F478B2"/>
    <w:rsid w:val="00FB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B2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B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03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E07D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E07D8A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E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19</cp:revision>
  <dcterms:created xsi:type="dcterms:W3CDTF">2018-06-28T14:08:00Z</dcterms:created>
  <dcterms:modified xsi:type="dcterms:W3CDTF">2022-08-29T05:41:00Z</dcterms:modified>
</cp:coreProperties>
</file>