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C15FF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4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10</w:t>
      </w:r>
      <w:r w:rsidR="002C3A9D" w:rsidRPr="002C3A9D">
        <w:rPr>
          <w:b/>
        </w:rPr>
        <w:t xml:space="preserve"> </w:t>
      </w:r>
      <w:r w:rsidR="007B0E2E">
        <w:rPr>
          <w:b/>
        </w:rPr>
        <w:t>Туризм</w:t>
      </w: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D84A4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ОГСЭ.03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8A7DB9">
        <w:rPr>
          <w:bCs/>
          <w:sz w:val="28"/>
          <w:szCs w:val="28"/>
          <w:lang w:eastAsia="ru-RU"/>
        </w:rPr>
        <w:t>1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C15FF">
        <w:t>4</w:t>
      </w:r>
      <w:r w:rsidR="007B0E2E">
        <w:t>3</w:t>
      </w:r>
      <w:r>
        <w:t>.02.</w:t>
      </w:r>
      <w:r w:rsidR="007B0E2E">
        <w:t>10</w:t>
      </w:r>
      <w:r>
        <w:t xml:space="preserve"> </w:t>
      </w:r>
      <w:r w:rsidR="007B0E2E">
        <w:t>Туризм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7B0E2E">
        <w:t>07</w:t>
      </w:r>
      <w:r w:rsidR="00D84A46">
        <w:t>.</w:t>
      </w:r>
      <w:r w:rsidR="00CC15FF">
        <w:t>05</w:t>
      </w:r>
      <w:r w:rsidR="00D84A46">
        <w:t>. 2014 №</w:t>
      </w:r>
      <w:r w:rsidR="00CC15FF">
        <w:t xml:space="preserve"> </w:t>
      </w:r>
      <w:r w:rsidR="007B0E2E">
        <w:t>474.</w:t>
      </w: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>учебной дисциплины «Английский язык» авторов Коржанова А. А., Лаврик Г. В.  для профессиональных образовательных организаций. — М. :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Ламбина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082160">
        <w:t>10</w:t>
      </w:r>
      <w:r w:rsidR="003D7596">
        <w:t xml:space="preserve">   </w:t>
      </w:r>
      <w:r w:rsidR="00D77673">
        <w:t xml:space="preserve"> </w:t>
      </w:r>
      <w:r w:rsidR="00D77673" w:rsidRPr="00A76403">
        <w:t xml:space="preserve"> от «</w:t>
      </w:r>
      <w:r w:rsidR="00082160">
        <w:t>28</w:t>
      </w:r>
      <w:r w:rsidR="003D7596">
        <w:t xml:space="preserve">  </w:t>
      </w:r>
      <w:r w:rsidR="00D77673" w:rsidRPr="00A76403">
        <w:t>»</w:t>
      </w:r>
      <w:r w:rsidR="003D7596">
        <w:t xml:space="preserve"> </w:t>
      </w:r>
      <w:r w:rsidR="00082160">
        <w:t>июня</w:t>
      </w:r>
      <w:r w:rsidR="003D7596">
        <w:t xml:space="preserve"> 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082160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r>
        <w:t>Коломоец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r w:rsidR="003D7596">
        <w:t>Бикчандаева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3F2207">
        <w:rPr>
          <w:b/>
        </w:rPr>
        <w:t>СОДЕРЖАНИЕ</w:t>
      </w: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D7596" w:rsidRDefault="0024620B" w:rsidP="00C2391E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  <w:r w:rsidRPr="003D7596">
              <w:rPr>
                <w:b/>
                <w:caps/>
              </w:rPr>
              <w:t xml:space="preserve">Контроль и оценка результатов Освоения </w:t>
            </w: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ОГСЭ.03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C15FF">
        <w:t>4</w:t>
      </w:r>
      <w:r w:rsidR="007B0E2E">
        <w:t>3</w:t>
      </w:r>
      <w:r>
        <w:t>.02.</w:t>
      </w:r>
      <w:r w:rsidR="007B0E2E">
        <w:t xml:space="preserve">10 </w:t>
      </w:r>
      <w:r>
        <w:t xml:space="preserve"> </w:t>
      </w:r>
      <w:r w:rsidR="000B3BD0">
        <w:t>Туризм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•метапредметных: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адек-ватные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r w:rsidRPr="001301BA">
        <w:rPr>
          <w:lang w:eastAsia="ru-RU"/>
        </w:rPr>
        <w:lastRenderedPageBreak/>
        <w:t>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>ориентироваться в иноязычном письменном и аудиотексте: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переспрос, перефраз,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7B0E2E">
        <w:t>130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7B0E2E">
        <w:t>106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7B0E2E">
        <w:t>16</w:t>
      </w:r>
      <w:r w:rsidRPr="002A2117">
        <w:t xml:space="preserve"> час</w:t>
      </w:r>
      <w:r w:rsidR="007B0E2E">
        <w:t>ов</w:t>
      </w:r>
      <w:r w:rsidR="007B0E2E" w:rsidRPr="000B3BD0">
        <w:t>,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>
        <w:t>консультации – 8 часов.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B0E2E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130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B0E2E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B0E2E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106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B0E2E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16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 .</w:t>
            </w:r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Знакомство с числительными (количественными, порядковыми), чтение дат, дни недели, месяца, сезоны.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2.3. </w:t>
            </w:r>
          </w:p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Английские времена группы </w:t>
            </w:r>
            <w:r>
              <w:rPr>
                <w:b/>
                <w:bCs/>
                <w:lang w:val="en-US"/>
              </w:rPr>
              <w:t>Simple</w:t>
            </w:r>
            <w:r>
              <w:rPr>
                <w:b/>
                <w:bCs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</w:rPr>
            </w:pPr>
            <w:r>
              <w:rPr>
                <w:b/>
                <w:bCs/>
              </w:rPr>
              <w:t>Тема 2.4.</w:t>
            </w:r>
            <w:r>
              <w:rPr>
                <w:bCs/>
              </w:rPr>
              <w:t xml:space="preserve">  </w:t>
            </w:r>
          </w:p>
          <w:p w:rsidR="00551A6C" w:rsidRDefault="00551A6C" w:rsidP="00921AC9">
            <w:pPr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Разбор лексики к тексту: «Семья Волковых». Пассивный залог (таблица</w:t>
            </w:r>
            <w:r>
              <w:rPr>
                <w:bCs/>
                <w:lang w:val="en-US"/>
              </w:rPr>
              <w:t>,</w:t>
            </w:r>
            <w:r>
              <w:rPr>
                <w:bCs/>
              </w:rPr>
              <w:t xml:space="preserve"> примеры</w:t>
            </w:r>
            <w:r>
              <w:rPr>
                <w:bCs/>
                <w:lang w:val="en-US"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7B0E2E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264492" w:rsidRPr="00457511">
              <w:rPr>
                <w:b/>
                <w:bCs/>
                <w:sz w:val="20"/>
                <w:szCs w:val="20"/>
              </w:rPr>
              <w:t>3</w:t>
            </w:r>
            <w:r w:rsidR="007B0E2E">
              <w:rPr>
                <w:b/>
                <w:bCs/>
                <w:sz w:val="20"/>
                <w:szCs w:val="20"/>
              </w:rPr>
              <w:t xml:space="preserve">2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7B0E2E">
              <w:rPr>
                <w:b/>
                <w:bCs/>
                <w:sz w:val="20"/>
                <w:szCs w:val="20"/>
              </w:rPr>
              <w:t>а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0B3BD0" w:rsidP="000B3BD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 семестр (20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Пассивный залог. Выполнение контрольный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0B3BD0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семестр (20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0B3BD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7B0E2E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  <w:bookmarkStart w:id="0" w:name="_GoBack"/>
      <w:bookmarkEnd w:id="0"/>
    </w:p>
    <w:p w:rsidR="00363BF9" w:rsidRPr="005750D2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5750D2">
        <w:rPr>
          <w:b/>
          <w:bCs/>
        </w:rPr>
        <w:t>Основные источники:</w:t>
      </w:r>
    </w:p>
    <w:p w:rsidR="00363BF9" w:rsidRPr="005750D2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5750D2">
        <w:rPr>
          <w:bCs/>
          <w:i/>
        </w:rPr>
        <w:t>Учебники для студентов:</w:t>
      </w:r>
    </w:p>
    <w:p w:rsidR="00363BF9" w:rsidRPr="005750D2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r w:rsidRPr="005750D2">
        <w:rPr>
          <w:bCs/>
        </w:rPr>
        <w:t>Агабекян, И.П. Английский язык: учебник/ И.П.Агабекян — Ростов Н/Д:Феникс, 2017.</w:t>
      </w:r>
    </w:p>
    <w:p w:rsidR="00363BF9" w:rsidRPr="005750D2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</w:rPr>
      </w:pPr>
      <w:r w:rsidRPr="005750D2">
        <w:rPr>
          <w:b/>
        </w:rPr>
        <w:t>Дополнительные источники:</w:t>
      </w:r>
    </w:p>
    <w:p w:rsidR="00363BF9" w:rsidRPr="005750D2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5750D2"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r>
        <w:rPr>
          <w:bCs/>
        </w:rPr>
        <w:t>Агабекян, И.П. Английский язык: учебник/ И.П.Агабекян — Ростов Н/Д:Феникс,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>1.1 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lastRenderedPageBreak/>
        <w:t>Интернет-ресурсы</w:t>
      </w:r>
    </w:p>
    <w:p w:rsidR="00363BF9" w:rsidRDefault="005750D2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0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5750D2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1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5750D2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2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(Macmillan Dictionary с возможнстью прослушать произношение слов).</w:t>
      </w:r>
    </w:p>
    <w:p w:rsidR="00363BF9" w:rsidRDefault="005750D2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3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«Британника»).</w:t>
      </w:r>
    </w:p>
    <w:p w:rsidR="00363BF9" w:rsidRDefault="005750D2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4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8A7DB9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8A7DB9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8A7DB9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8A7DB9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8A7DB9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0B3BD0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t xml:space="preserve">3.3. </w:t>
      </w:r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прочитанному,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ориентироваться в иноязычном письменном тексте и аудиотексте: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переспрос, перефраз,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высказывать своё мнение о прочитанном.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аудирования по текстам: «Английские традиции» (до 103 лекс.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r>
        <w:t>истема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1A0" w:rsidRDefault="006D41A0">
      <w:r>
        <w:separator/>
      </w:r>
    </w:p>
  </w:endnote>
  <w:endnote w:type="continuationSeparator" w:id="0">
    <w:p w:rsidR="006D41A0" w:rsidRDefault="006D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4A46" w:rsidRDefault="00D84A4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5750D2">
                            <w:rPr>
                              <w:rStyle w:val="a6"/>
                              <w:noProof/>
                            </w:rPr>
                            <w:t>6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D84A46" w:rsidRDefault="00D84A4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5750D2">
                      <w:rPr>
                        <w:rStyle w:val="a6"/>
                        <w:noProof/>
                      </w:rPr>
                      <w:t>6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5750D2">
      <w:rPr>
        <w:noProof/>
      </w:rPr>
      <w:t>16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A46" w:rsidRDefault="00D84A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1A0" w:rsidRDefault="006D41A0">
      <w:r>
        <w:separator/>
      </w:r>
    </w:p>
  </w:footnote>
  <w:footnote w:type="continuationSeparator" w:id="0">
    <w:p w:rsidR="006D41A0" w:rsidRDefault="006D4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25290"/>
    <w:rsid w:val="00070542"/>
    <w:rsid w:val="00082160"/>
    <w:rsid w:val="000A1649"/>
    <w:rsid w:val="000B3BD0"/>
    <w:rsid w:val="001301BA"/>
    <w:rsid w:val="001D53DD"/>
    <w:rsid w:val="001E580D"/>
    <w:rsid w:val="001F4ED5"/>
    <w:rsid w:val="0024620B"/>
    <w:rsid w:val="00264492"/>
    <w:rsid w:val="002A6410"/>
    <w:rsid w:val="002B0E4B"/>
    <w:rsid w:val="002B2E5D"/>
    <w:rsid w:val="002C0BED"/>
    <w:rsid w:val="002C3A9D"/>
    <w:rsid w:val="00363BF9"/>
    <w:rsid w:val="00365F44"/>
    <w:rsid w:val="003C517C"/>
    <w:rsid w:val="003D7596"/>
    <w:rsid w:val="003F2207"/>
    <w:rsid w:val="004147B0"/>
    <w:rsid w:val="00424DA5"/>
    <w:rsid w:val="00457511"/>
    <w:rsid w:val="004D6BE2"/>
    <w:rsid w:val="00551A6C"/>
    <w:rsid w:val="005750D2"/>
    <w:rsid w:val="00654AFD"/>
    <w:rsid w:val="00687629"/>
    <w:rsid w:val="006D41A0"/>
    <w:rsid w:val="00792474"/>
    <w:rsid w:val="007A7434"/>
    <w:rsid w:val="007B0E2E"/>
    <w:rsid w:val="007C0A35"/>
    <w:rsid w:val="007E209F"/>
    <w:rsid w:val="007F6B8B"/>
    <w:rsid w:val="008A4BAB"/>
    <w:rsid w:val="008A7DB9"/>
    <w:rsid w:val="008E7F79"/>
    <w:rsid w:val="00921AC9"/>
    <w:rsid w:val="009259B5"/>
    <w:rsid w:val="00A03197"/>
    <w:rsid w:val="00A95461"/>
    <w:rsid w:val="00B5261F"/>
    <w:rsid w:val="00BD1746"/>
    <w:rsid w:val="00C05CA0"/>
    <w:rsid w:val="00C5475A"/>
    <w:rsid w:val="00CA0AD2"/>
    <w:rsid w:val="00CC15FF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66956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16FD07C-61BF-49E9-B4AD-F933F2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annic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dictionary.com/dictionary/british/enjoy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voliv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iro.ranep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doce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68FD-BA98-4B7F-92CA-FCD9B9C6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17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Windows User</cp:lastModifiedBy>
  <cp:revision>22</cp:revision>
  <dcterms:created xsi:type="dcterms:W3CDTF">2020-06-17T05:29:00Z</dcterms:created>
  <dcterms:modified xsi:type="dcterms:W3CDTF">2021-09-05T04:06:00Z</dcterms:modified>
</cp:coreProperties>
</file>