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0B" w:rsidRPr="003A670B" w:rsidRDefault="003A670B" w:rsidP="003A67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3A670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</w:t>
      </w:r>
    </w:p>
    <w:p w:rsidR="003A670B" w:rsidRPr="003A670B" w:rsidRDefault="003A670B" w:rsidP="003A67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70B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3A670B" w:rsidRPr="003A670B" w:rsidRDefault="003A670B" w:rsidP="003A670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3A670B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33F7" w:rsidRDefault="002F33F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33F7" w:rsidRDefault="002F33F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F33F7" w:rsidRDefault="002F33F7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A670B" w:rsidRDefault="003A670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A670B" w:rsidRDefault="003A670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A670B" w:rsidRDefault="003A670B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Pr="005D3EA2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670B" w:rsidRPr="005D3EA2" w:rsidRDefault="003A670B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proofErr w:type="spellStart"/>
      <w:r w:rsidRPr="005D3EA2">
        <w:rPr>
          <w:rFonts w:ascii="Times New Roman" w:eastAsia="Times New Roman" w:hAnsi="Times New Roman" w:cs="Times New Roman"/>
          <w:sz w:val="24"/>
          <w:szCs w:val="24"/>
        </w:rPr>
        <w:t>дисциплиныразработана</w:t>
      </w:r>
      <w:proofErr w:type="spell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 8.51.02.01  Народное художественное творчество (по видам)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4546D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№1382</w:t>
      </w:r>
      <w:r w:rsidR="004E333A" w:rsidRPr="004E33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46D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D101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10154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49216F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80EE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6</w: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80EE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80EE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111F4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49216F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49216F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видам),  8.51.02.01  Народное художественное творчество (по видам)</w:t>
      </w:r>
      <w:r w:rsidR="002F33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2F33F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F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</w:t>
            </w:r>
            <w:r w:rsidR="002F3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F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2F3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2F33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2F33F7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2F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2F33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680EEA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proofErr w:type="spellStart"/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40675956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40675957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40675958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40675959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40675960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40675961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40675962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40675963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40675964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40675965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40675966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40675967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40675968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40675969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40675970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40675971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40675972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40675973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40675974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40675975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40675976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40675977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40675978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40675979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40675980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40675981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40675982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40675983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40675984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40675985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40675986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40675987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40675988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40675989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40675990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40675991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40675992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40675993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40675994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40675995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40675996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40675997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40675998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40675999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40676000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40676001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40676002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40676003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40676004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40676005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40676006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40676007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40676008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40676009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40676010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40676011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EEA" w:rsidRDefault="00680EEA" w:rsidP="00201084">
      <w:pPr>
        <w:spacing w:after="0" w:line="240" w:lineRule="auto"/>
      </w:pPr>
      <w:r>
        <w:separator/>
      </w:r>
    </w:p>
  </w:endnote>
  <w:endnote w:type="continuationSeparator" w:id="0">
    <w:p w:rsidR="00680EEA" w:rsidRDefault="00680EEA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49216F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3A67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EEA" w:rsidRDefault="00680EEA" w:rsidP="00201084">
      <w:pPr>
        <w:spacing w:after="0" w:line="240" w:lineRule="auto"/>
      </w:pPr>
      <w:r>
        <w:separator/>
      </w:r>
    </w:p>
  </w:footnote>
  <w:footnote w:type="continuationSeparator" w:id="0">
    <w:p w:rsidR="00680EEA" w:rsidRDefault="00680EEA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2E799F"/>
    <w:rsid w:val="002F33F7"/>
    <w:rsid w:val="003339F9"/>
    <w:rsid w:val="003A1107"/>
    <w:rsid w:val="003A670B"/>
    <w:rsid w:val="003B2D5E"/>
    <w:rsid w:val="004068F3"/>
    <w:rsid w:val="004546DC"/>
    <w:rsid w:val="0049216F"/>
    <w:rsid w:val="004E333A"/>
    <w:rsid w:val="004E418E"/>
    <w:rsid w:val="00517CB6"/>
    <w:rsid w:val="005D0280"/>
    <w:rsid w:val="00680EEA"/>
    <w:rsid w:val="006F0CE2"/>
    <w:rsid w:val="007450C5"/>
    <w:rsid w:val="00747650"/>
    <w:rsid w:val="00766233"/>
    <w:rsid w:val="008520DB"/>
    <w:rsid w:val="00877B9F"/>
    <w:rsid w:val="008B3AEC"/>
    <w:rsid w:val="009141A6"/>
    <w:rsid w:val="00926823"/>
    <w:rsid w:val="00AA14EC"/>
    <w:rsid w:val="00AB1F3C"/>
    <w:rsid w:val="00B64594"/>
    <w:rsid w:val="00BC5E3C"/>
    <w:rsid w:val="00C47D9C"/>
    <w:rsid w:val="00D10154"/>
    <w:rsid w:val="00D36B39"/>
    <w:rsid w:val="00D7590D"/>
    <w:rsid w:val="00DF4244"/>
    <w:rsid w:val="00E10853"/>
    <w:rsid w:val="00E25661"/>
    <w:rsid w:val="00E52F9A"/>
    <w:rsid w:val="00E96734"/>
    <w:rsid w:val="00EC4913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21963-61A5-4CC5-9AE3-700FDA24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22</Pages>
  <Words>4237</Words>
  <Characters>24153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29</cp:revision>
  <dcterms:created xsi:type="dcterms:W3CDTF">2017-03-19T11:06:00Z</dcterms:created>
  <dcterms:modified xsi:type="dcterms:W3CDTF">2020-01-16T05:32:00Z</dcterms:modified>
</cp:coreProperties>
</file>