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E70411">
        <w:rPr>
          <w:rFonts w:ascii="Times New Roman" w:hAnsi="Times New Roman" w:cs="Times New Roman"/>
          <w:b/>
          <w:color w:val="1F497D"/>
        </w:rPr>
        <w:t>7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</w:t>
      </w:r>
    </w:p>
    <w:p w:rsidR="00E64C71" w:rsidRPr="00E64C71" w:rsidRDefault="00E64C71" w:rsidP="00E64C71">
      <w:pPr>
        <w:jc w:val="right"/>
        <w:rPr>
          <w:rFonts w:ascii="Times New Roman" w:hAnsi="Times New Roman" w:cs="Times New Roman"/>
        </w:rPr>
      </w:pPr>
      <w:r w:rsidRPr="00E64C71">
        <w:rPr>
          <w:rFonts w:ascii="Times New Roman" w:hAnsi="Times New Roman" w:cs="Times New Roman"/>
          <w:b/>
        </w:rPr>
        <w:t>по профессии 18.01.02 Лаборант-эколог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7F6" w:rsidRPr="005627F6" w:rsidRDefault="005627F6" w:rsidP="0056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5627F6">
        <w:rPr>
          <w:rFonts w:ascii="Times New Roman" w:hAnsi="Times New Roman" w:cs="Times New Roman"/>
        </w:rPr>
        <w:t>ГАПОУ ТО «</w:t>
      </w:r>
      <w:proofErr w:type="spellStart"/>
      <w:r w:rsidRPr="005627F6">
        <w:rPr>
          <w:rFonts w:ascii="Times New Roman" w:hAnsi="Times New Roman" w:cs="Times New Roman"/>
        </w:rPr>
        <w:t>Тобольский</w:t>
      </w:r>
      <w:proofErr w:type="spellEnd"/>
      <w:r w:rsidRPr="005627F6">
        <w:rPr>
          <w:rFonts w:ascii="Times New Roman" w:hAnsi="Times New Roman" w:cs="Times New Roman"/>
        </w:rPr>
        <w:t xml:space="preserve"> многопрофильный техникум»</w:t>
      </w:r>
    </w:p>
    <w:p w:rsidR="005627F6" w:rsidRDefault="005627F6" w:rsidP="0056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ОДБ.</w:t>
      </w:r>
      <w:r w:rsidR="00E70411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CF6372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 учебной дисциплины «Английский язык» для профессиональных образовательных организаций   (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0E15FA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т</w:t>
      </w:r>
      <w:r w:rsidR="00D83A47" w:rsidRPr="000E15FA">
        <w:rPr>
          <w:rFonts w:ascii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результатам освоения учебной дисципли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>ны «</w:t>
      </w:r>
      <w:r w:rsidRPr="000E15F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83A47" w:rsidRPr="00E64C71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71">
        <w:rPr>
          <w:rFonts w:ascii="Times New Roman" w:hAnsi="Times New Roman" w:cs="Times New Roman"/>
          <w:sz w:val="24"/>
          <w:szCs w:val="24"/>
        </w:rPr>
        <w:t>р</w:t>
      </w:r>
      <w:r w:rsidR="00D83A47" w:rsidRPr="00E64C71">
        <w:rPr>
          <w:rFonts w:ascii="Times New Roman" w:hAnsi="Times New Roman" w:cs="Times New Roman"/>
          <w:sz w:val="24"/>
          <w:szCs w:val="24"/>
        </w:rPr>
        <w:t>екомендаци</w:t>
      </w:r>
      <w:r w:rsidRPr="00E64C71">
        <w:rPr>
          <w:rFonts w:ascii="Times New Roman" w:hAnsi="Times New Roman" w:cs="Times New Roman"/>
          <w:sz w:val="24"/>
          <w:szCs w:val="24"/>
        </w:rPr>
        <w:t>й</w:t>
      </w:r>
      <w:r w:rsidR="00D83A47" w:rsidRPr="00E64C71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E64C71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E64C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E64C71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E64C71" w:rsidRPr="00E64C71" w:rsidRDefault="00E64C71" w:rsidP="00E64C7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7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18.01.02 Лаборант-эколог (приказ Министерства образования и науки Российской Федерации «</w:t>
      </w:r>
      <w:r w:rsidRPr="00E64C7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64C71">
        <w:rPr>
          <w:rFonts w:ascii="Times New Roman" w:hAnsi="Times New Roman" w:cs="Times New Roman"/>
          <w:sz w:val="24"/>
          <w:szCs w:val="24"/>
        </w:rPr>
        <w:t xml:space="preserve"> по профессии 240100.02 Лаборант-эколог от 02 августа 2013 № 916 (зарегистрирован в Минюсте России 20 августа 2013 г. № 29659).</w:t>
      </w:r>
      <w:proofErr w:type="gramEnd"/>
    </w:p>
    <w:p w:rsidR="00E22408" w:rsidRPr="00E64C71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E64C71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4C71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E64C71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4C71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0E15FA">
        <w:rPr>
          <w:rFonts w:ascii="Times New Roman" w:hAnsi="Times New Roman" w:cs="Times New Roman"/>
          <w:sz w:val="24"/>
          <w:szCs w:val="24"/>
        </w:rPr>
        <w:t>ьский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Pr="0024200E" w:rsidRDefault="00100D9F" w:rsidP="002420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0E" w:rsidRPr="0024200E" w:rsidRDefault="0024200E" w:rsidP="0024200E">
      <w:pPr>
        <w:spacing w:line="240" w:lineRule="auto"/>
        <w:rPr>
          <w:rFonts w:ascii="Times New Roman" w:hAnsi="Times New Roman" w:cs="Times New Roman"/>
        </w:rPr>
      </w:pPr>
      <w:r w:rsidRPr="0024200E">
        <w:rPr>
          <w:rFonts w:ascii="Times New Roman" w:hAnsi="Times New Roman" w:cs="Times New Roman"/>
          <w:b/>
        </w:rPr>
        <w:t>«Рассмотрено»</w:t>
      </w:r>
      <w:r w:rsidRPr="0024200E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24200E">
        <w:rPr>
          <w:rFonts w:ascii="Times New Roman" w:hAnsi="Times New Roman" w:cs="Times New Roman"/>
        </w:rPr>
        <w:t>естественно-научных</w:t>
      </w:r>
      <w:proofErr w:type="spellEnd"/>
      <w:r w:rsidRPr="0024200E">
        <w:rPr>
          <w:rFonts w:ascii="Times New Roman" w:hAnsi="Times New Roman" w:cs="Times New Roman"/>
        </w:rPr>
        <w:t xml:space="preserve"> дисциплин (г</w:t>
      </w:r>
      <w:proofErr w:type="gramStart"/>
      <w:r w:rsidRPr="0024200E">
        <w:rPr>
          <w:rFonts w:ascii="Times New Roman" w:hAnsi="Times New Roman" w:cs="Times New Roman"/>
        </w:rPr>
        <w:t>.Т</w:t>
      </w:r>
      <w:proofErr w:type="gramEnd"/>
      <w:r w:rsidRPr="0024200E">
        <w:rPr>
          <w:rFonts w:ascii="Times New Roman" w:hAnsi="Times New Roman" w:cs="Times New Roman"/>
        </w:rPr>
        <w:t xml:space="preserve">обольск) </w:t>
      </w:r>
      <w:r w:rsidRPr="0024200E">
        <w:rPr>
          <w:rFonts w:ascii="Times New Roman" w:hAnsi="Times New Roman" w:cs="Times New Roman"/>
        </w:rPr>
        <w:br/>
        <w:t>Протокол № 9 от 17 мая 2019 г.</w:t>
      </w:r>
      <w:r w:rsidRPr="0024200E">
        <w:rPr>
          <w:rFonts w:ascii="Times New Roman" w:hAnsi="Times New Roman" w:cs="Times New Roman"/>
        </w:rPr>
        <w:br/>
        <w:t>Председатель ЦК ________________/Трухина Т.В./</w:t>
      </w: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</w:rPr>
      </w:pP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200E">
        <w:rPr>
          <w:rFonts w:ascii="Times New Roman" w:hAnsi="Times New Roman" w:cs="Times New Roman"/>
          <w:b/>
        </w:rPr>
        <w:t>«Согласовано»</w:t>
      </w: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</w:rPr>
      </w:pPr>
      <w:r w:rsidRPr="0024200E">
        <w:rPr>
          <w:rFonts w:ascii="Times New Roman" w:hAnsi="Times New Roman" w:cs="Times New Roman"/>
        </w:rPr>
        <w:t>Методист ______________/</w:t>
      </w:r>
      <w:proofErr w:type="spellStart"/>
      <w:r w:rsidRPr="0024200E">
        <w:rPr>
          <w:rFonts w:ascii="Times New Roman" w:hAnsi="Times New Roman" w:cs="Times New Roman"/>
        </w:rPr>
        <w:t>Симанова</w:t>
      </w:r>
      <w:proofErr w:type="spellEnd"/>
      <w:r w:rsidRPr="0024200E">
        <w:rPr>
          <w:rFonts w:ascii="Times New Roman" w:hAnsi="Times New Roman" w:cs="Times New Roman"/>
        </w:rPr>
        <w:t xml:space="preserve"> И.Н./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Pr="00D83A47" w:rsidRDefault="00494717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Pr="00E64C71" w:rsidRDefault="00E22408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Pr="00E64C71">
        <w:rPr>
          <w:rFonts w:ascii="Times New Roman" w:hAnsi="Times New Roman" w:cs="Times New Roman"/>
          <w:sz w:val="24"/>
          <w:szCs w:val="24"/>
        </w:rPr>
        <w:t>ква</w:t>
      </w:r>
      <w:r w:rsidR="00621FF8" w:rsidRPr="00E64C71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E64C71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 w:rsidRPr="00E64C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E64C71" w:rsidRPr="00E64C71">
        <w:rPr>
          <w:rFonts w:ascii="Times New Roman" w:hAnsi="Times New Roman" w:cs="Times New Roman"/>
          <w:sz w:val="24"/>
          <w:szCs w:val="24"/>
        </w:rPr>
        <w:t>18.01.02 Лаборант-эколог.</w:t>
      </w:r>
      <w:proofErr w:type="gramEnd"/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ОДБ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ОДБ.2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25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</w:t>
      </w:r>
      <w:r w:rsidR="00E64C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171</w:t>
      </w:r>
      <w:r w:rsidR="00E64C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часов;  самостоятельной работы обучающегося 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85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E64C71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E64C71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E64C71" w:rsidRDefault="008309ED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64C71"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E64C71" w:rsidRDefault="009A38BA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5C2894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4C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E64C71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9A38BA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4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учебной дисциплины  ОДБ.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0F7ABF">
        <w:trPr>
          <w:trHeight w:val="2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55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2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CF32BA">
        <w:trPr>
          <w:gridAfter w:val="1"/>
          <w:wAfter w:w="9" w:type="dxa"/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44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C7A90">
        <w:trPr>
          <w:gridAfter w:val="1"/>
          <w:wAfter w:w="9" w:type="dxa"/>
          <w:trHeight w:val="28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Профессиональный</w:t>
            </w:r>
            <w:r w:rsidR="00245E16"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2.1.1</w:t>
            </w:r>
          </w:p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слухо</w:t>
            </w:r>
            <w:proofErr w:type="spellEnd"/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 – </w:t>
            </w:r>
          </w:p>
          <w:p w:rsidR="00BB1431" w:rsidRPr="00CF6372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  <w:p w:rsidR="00BB1431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CF6372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Работа с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инструментами</w:t>
            </w:r>
            <w:proofErr w:type="gram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="00730E75"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</w:t>
            </w:r>
            <w:proofErr w:type="gramEnd"/>
            <w:r w:rsidR="00730E75"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лесарные</w:t>
            </w:r>
            <w:proofErr w:type="spellEnd"/>
            <w:r w:rsidR="00730E75"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CF6372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6372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2.2</w:t>
            </w:r>
          </w:p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на предприятии.</w:t>
            </w:r>
          </w:p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CF637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среды</w:t>
            </w:r>
            <w:proofErr w:type="gram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.Н</w:t>
            </w:r>
            <w:proofErr w:type="gramEnd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еобходимые</w:t>
            </w:r>
            <w:proofErr w:type="spellEnd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электротоком</w:t>
            </w:r>
            <w:proofErr w:type="gramStart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.Т</w:t>
            </w:r>
            <w:proofErr w:type="gramEnd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ребования</w:t>
            </w:r>
            <w:proofErr w:type="spellEnd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5597" w:rsidRPr="00CF6372" w:rsidRDefault="009C2D23" w:rsidP="00A8559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</w:t>
            </w: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подготовить  проект «Моя профессия - моё </w:t>
            </w:r>
            <w:r w:rsidRPr="00CF6372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будущее</w:t>
            </w: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5597" w:rsidRPr="00E64C7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4A5622" w:rsidP="00E6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E64C71"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85597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E64C71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</w:tr>
      <w:tr w:rsidR="00A85597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E64C71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E64C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787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2012г.,-336с.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Pr="00D83A47">
        <w:rPr>
          <w:rFonts w:ascii="Times New Roman" w:hAnsi="Times New Roman" w:cs="Times New Roman"/>
          <w:sz w:val="24"/>
          <w:szCs w:val="24"/>
        </w:rPr>
        <w:t>2г., 400с.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0E15FA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47">
        <w:rPr>
          <w:rFonts w:ascii="Times New Roman" w:hAnsi="Times New Roman" w:cs="Times New Roman"/>
          <w:sz w:val="24"/>
          <w:szCs w:val="24"/>
        </w:rPr>
        <w:t>1</w:t>
      </w:r>
      <w:r w:rsidRPr="000E15F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Агабекян И.П. Английский язык: Феникс. [Электронный ресурс]: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Учебное пособие.           – 2009. – Режим доступа: </w:t>
      </w:r>
      <w:hyperlink r:id="rId7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www.twirpx.com/file/40784/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 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2. Министерство образования Российской Федерации. - Режим доступа: </w:t>
      </w:r>
      <w:hyperlink r:id="rId8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http://www.ed.gov.ru, 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3. Национальный портал "Российский общеобразовательный портал». - Режим доступа: </w:t>
      </w:r>
      <w:r w:rsidRPr="000E15FA">
        <w:rPr>
          <w:rFonts w:ascii="Times New Roman" w:hAnsi="Times New Roman" w:cs="Times New Roman"/>
          <w:sz w:val="20"/>
          <w:szCs w:val="20"/>
        </w:rPr>
        <w:t xml:space="preserve">http://www.school.edu.ru,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4. Специализированный портал «Информационно-коммуникационные технологии в</w:t>
      </w:r>
      <w:r w:rsidR="00494717" w:rsidRPr="000E15FA">
        <w:rPr>
          <w:rFonts w:ascii="Times New Roman" w:hAnsi="Times New Roman" w:cs="Times New Roman"/>
          <w:sz w:val="20"/>
          <w:szCs w:val="20"/>
        </w:rPr>
        <w:t xml:space="preserve"> </w:t>
      </w:r>
      <w:r w:rsidRPr="000E15FA">
        <w:rPr>
          <w:rFonts w:ascii="Times New Roman" w:hAnsi="Times New Roman" w:cs="Times New Roman"/>
          <w:sz w:val="20"/>
          <w:szCs w:val="20"/>
        </w:rPr>
        <w:t xml:space="preserve">образовании». - Режим доступа: </w:t>
      </w:r>
      <w:hyperlink r:id="rId9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, свободный.- 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Загл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 с экрана</w:t>
        </w:r>
      </w:hyperlink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;          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6</w:t>
      </w:r>
      <w:hyperlink r:id="rId11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.Up&amp;Up 10: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Издательский центр «Академия». [Электронный ресурс]: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Workbook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E22408" w:rsidRPr="000E15FA" w:rsidRDefault="0099650F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roto.ru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books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/1804823.shtml</w:t>
        </w:r>
      </w:hyperlink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свободный.-Загл</w:t>
      </w:r>
      <w:proofErr w:type="spellEnd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. с экрана</w:t>
      </w:r>
    </w:p>
    <w:p w:rsidR="00F128A9" w:rsidRDefault="00F128A9" w:rsidP="00F128A9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lastRenderedPageBreak/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F128A9" w:rsidRDefault="00F128A9" w:rsidP="00F12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д</w:t>
      </w:r>
      <w:r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>
        <w:rPr>
          <w:rFonts w:ascii="Times New Roman" w:hAnsi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F128A9" w:rsidRDefault="00F128A9" w:rsidP="00F128A9">
      <w:pPr>
        <w:pStyle w:val="11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F128A9" w:rsidRDefault="00F128A9" w:rsidP="00F128A9">
      <w:pPr>
        <w:pStyle w:val="11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F128A9" w:rsidRDefault="00F128A9" w:rsidP="00F128A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E64C71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E64C71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E64C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E64C7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E64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E64C7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E64C71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общих компетенций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15FA"/>
    <w:rsid w:val="000E236F"/>
    <w:rsid w:val="000F7ABF"/>
    <w:rsid w:val="00100BC1"/>
    <w:rsid w:val="00100D9F"/>
    <w:rsid w:val="00130F49"/>
    <w:rsid w:val="00206EA1"/>
    <w:rsid w:val="00217A37"/>
    <w:rsid w:val="0024200E"/>
    <w:rsid w:val="00245E16"/>
    <w:rsid w:val="0026111C"/>
    <w:rsid w:val="00261197"/>
    <w:rsid w:val="00266B0E"/>
    <w:rsid w:val="00283CE5"/>
    <w:rsid w:val="002B3812"/>
    <w:rsid w:val="002B598C"/>
    <w:rsid w:val="002C70F5"/>
    <w:rsid w:val="002F11AF"/>
    <w:rsid w:val="002F6218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42BC0"/>
    <w:rsid w:val="005627F6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74251"/>
    <w:rsid w:val="00784ED3"/>
    <w:rsid w:val="00787539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92234B"/>
    <w:rsid w:val="00922F15"/>
    <w:rsid w:val="009277C0"/>
    <w:rsid w:val="00953615"/>
    <w:rsid w:val="0099650F"/>
    <w:rsid w:val="009A10B2"/>
    <w:rsid w:val="009A38BA"/>
    <w:rsid w:val="009B1216"/>
    <w:rsid w:val="009C2D23"/>
    <w:rsid w:val="009F11C7"/>
    <w:rsid w:val="00A42068"/>
    <w:rsid w:val="00A46CB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CF6372"/>
    <w:rsid w:val="00D024C7"/>
    <w:rsid w:val="00D573FB"/>
    <w:rsid w:val="00D83A47"/>
    <w:rsid w:val="00DA242A"/>
    <w:rsid w:val="00DC0F17"/>
    <w:rsid w:val="00DD018E"/>
    <w:rsid w:val="00E20F3A"/>
    <w:rsid w:val="00E22408"/>
    <w:rsid w:val="00E64C71"/>
    <w:rsid w:val="00E65101"/>
    <w:rsid w:val="00E653AC"/>
    <w:rsid w:val="00E70411"/>
    <w:rsid w:val="00E8609F"/>
    <w:rsid w:val="00E94387"/>
    <w:rsid w:val="00EA1989"/>
    <w:rsid w:val="00EA22C8"/>
    <w:rsid w:val="00ED3906"/>
    <w:rsid w:val="00EF0597"/>
    <w:rsid w:val="00EF0EC4"/>
    <w:rsid w:val="00EF7333"/>
    <w:rsid w:val="00F128A9"/>
    <w:rsid w:val="00F30B4C"/>
    <w:rsid w:val="00F72502"/>
    <w:rsid w:val="00F92DEA"/>
    <w:rsid w:val="00FA07D8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F128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3377-8C17-4B10-BB54-BC9A0494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16</cp:revision>
  <cp:lastPrinted>2019-03-29T10:38:00Z</cp:lastPrinted>
  <dcterms:created xsi:type="dcterms:W3CDTF">2017-09-20T06:25:00Z</dcterms:created>
  <dcterms:modified xsi:type="dcterms:W3CDTF">2019-09-26T04:00:00Z</dcterms:modified>
</cp:coreProperties>
</file>