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4" w:rsidRPr="009F5784" w:rsidRDefault="009F5784" w:rsidP="009F5784">
      <w:pPr>
        <w:pStyle w:val="afffffff1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F578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A308A">
        <w:rPr>
          <w:rFonts w:ascii="Times New Roman" w:hAnsi="Times New Roman" w:cs="Times New Roman"/>
          <w:b/>
          <w:i/>
          <w:color w:val="1F497D"/>
          <w:sz w:val="24"/>
          <w:szCs w:val="24"/>
        </w:rPr>
        <w:t>11</w:t>
      </w:r>
    </w:p>
    <w:p w:rsidR="009F5784" w:rsidRPr="009F5784" w:rsidRDefault="009F5784" w:rsidP="009F5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784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5A308A" w:rsidRPr="007343BA" w:rsidRDefault="005A308A" w:rsidP="005A30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7343BA">
        <w:rPr>
          <w:rFonts w:ascii="Times New Roman" w:hAnsi="Times New Roman" w:cs="Times New Roman"/>
          <w:b/>
          <w:sz w:val="24"/>
          <w:szCs w:val="24"/>
        </w:rPr>
        <w:t>.02.0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343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 и производств</w:t>
      </w:r>
    </w:p>
    <w:p w:rsidR="00D77D77" w:rsidRPr="009F57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9F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9F5784" w:rsidRDefault="00D77D77" w:rsidP="00D77D7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784">
        <w:rPr>
          <w:rFonts w:ascii="Times New Roman" w:hAnsi="Times New Roman" w:cs="Times New Roman"/>
          <w:bCs/>
          <w:sz w:val="24"/>
          <w:szCs w:val="24"/>
        </w:rPr>
        <w:t>ГАПОУ ТО «</w:t>
      </w:r>
      <w:proofErr w:type="spellStart"/>
      <w:r w:rsidRPr="009F5784">
        <w:rPr>
          <w:rFonts w:ascii="Times New Roman" w:hAnsi="Times New Roman" w:cs="Times New Roman"/>
          <w:bCs/>
          <w:sz w:val="24"/>
          <w:szCs w:val="24"/>
        </w:rPr>
        <w:t>Тобольский</w:t>
      </w:r>
      <w:proofErr w:type="spellEnd"/>
      <w:r w:rsidRPr="009F5784">
        <w:rPr>
          <w:rFonts w:ascii="Times New Roman" w:hAnsi="Times New Roman" w:cs="Times New Roman"/>
          <w:bCs/>
          <w:sz w:val="24"/>
          <w:szCs w:val="24"/>
        </w:rPr>
        <w:t xml:space="preserve"> многопрофильный техникум»    </w:t>
      </w: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</w:t>
      </w:r>
      <w:r w:rsidR="006877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 ПРЕДМЕТА</w:t>
      </w:r>
    </w:p>
    <w:p w:rsidR="00D77D77" w:rsidRPr="009F5784" w:rsidRDefault="009F5784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УПВ.01 </w:t>
      </w:r>
      <w:r w:rsidR="00D77D77" w:rsidRPr="009F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литература</w:t>
      </w: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9F57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F5784" w:rsidRPr="007343BA" w:rsidRDefault="009F5784" w:rsidP="009F5784">
      <w:pPr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687737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7343B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5A308A" w:rsidRPr="007343BA" w:rsidRDefault="005A308A" w:rsidP="005A308A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ФГОС СПО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>15.02.07 Автоматизация технологических процессов и производств (П</w:t>
      </w:r>
      <w:r w:rsidRPr="007343BA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</w:t>
      </w:r>
      <w:r w:rsidRPr="007343B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специальности 15.02.07 Автоматизация технологических процессов и производств</w:t>
      </w:r>
      <w:r w:rsidRPr="007343BA">
        <w:rPr>
          <w:rFonts w:ascii="Times New Roman" w:hAnsi="Times New Roman" w:cs="Times New Roman"/>
          <w:sz w:val="24"/>
          <w:szCs w:val="24"/>
        </w:rPr>
        <w:t>»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3BA">
        <w:rPr>
          <w:rFonts w:ascii="Times New Roman" w:hAnsi="Times New Roman" w:cs="Times New Roman"/>
          <w:sz w:val="24"/>
          <w:szCs w:val="24"/>
        </w:rPr>
        <w:t xml:space="preserve"> года N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7343BA">
        <w:rPr>
          <w:rFonts w:ascii="Times New Roman" w:hAnsi="Times New Roman" w:cs="Times New Roman"/>
          <w:sz w:val="24"/>
          <w:szCs w:val="24"/>
        </w:rPr>
        <w:t xml:space="preserve">, зарегистрирован в Минюсте России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3BA">
        <w:rPr>
          <w:rFonts w:ascii="Times New Roman" w:hAnsi="Times New Roman" w:cs="Times New Roman"/>
          <w:sz w:val="24"/>
          <w:szCs w:val="24"/>
        </w:rPr>
        <w:t xml:space="preserve"> года N</w:t>
      </w:r>
      <w:r>
        <w:rPr>
          <w:rFonts w:ascii="Times New Roman" w:hAnsi="Times New Roman" w:cs="Times New Roman"/>
          <w:sz w:val="24"/>
          <w:szCs w:val="24"/>
        </w:rPr>
        <w:t>3268</w:t>
      </w:r>
      <w:r w:rsidRPr="007343B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F5784" w:rsidRPr="007343BA" w:rsidRDefault="009F5784" w:rsidP="009F5784">
      <w:pPr>
        <w:numPr>
          <w:ilvl w:val="0"/>
          <w:numId w:val="69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к структуре, содержанию и результатам освоения учебной дисципли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</w:t>
      </w:r>
      <w:r>
        <w:rPr>
          <w:rStyle w:val="FontStyle60"/>
          <w:rFonts w:ascii="Times New Roman" w:hAnsi="Times New Roman" w:cs="Times New Roman"/>
          <w:sz w:val="24"/>
          <w:szCs w:val="24"/>
        </w:rPr>
        <w:t>одной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язык и </w:t>
      </w:r>
      <w:r>
        <w:rPr>
          <w:rStyle w:val="FontStyle60"/>
          <w:rFonts w:ascii="Times New Roman" w:hAnsi="Times New Roman" w:cs="Times New Roman"/>
          <w:sz w:val="24"/>
          <w:szCs w:val="24"/>
        </w:rPr>
        <w:t>родная литература» (Приказ №413, от 17.05.2012)</w:t>
      </w:r>
    </w:p>
    <w:p w:rsidR="009F5784" w:rsidRPr="007343BA" w:rsidRDefault="00DC1202" w:rsidP="009F5784">
      <w:pPr>
        <w:numPr>
          <w:ilvl w:val="0"/>
          <w:numId w:val="69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>екомендаций по организации получения среднего общего образования в пределах освоения обра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9F5784" w:rsidRDefault="009F5784" w:rsidP="009F5784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D77D77" w:rsidRPr="005D3E16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9F57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9F5784">
        <w:rPr>
          <w:rFonts w:ascii="Times New Roman" w:hAnsi="Times New Roman" w:cs="Times New Roman"/>
          <w:sz w:val="24"/>
          <w:szCs w:val="24"/>
        </w:rPr>
        <w:t xml:space="preserve"> И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9F5784">
        <w:rPr>
          <w:rFonts w:ascii="Times New Roman" w:hAnsi="Times New Roman" w:cs="Times New Roman"/>
          <w:sz w:val="24"/>
          <w:szCs w:val="24"/>
        </w:rPr>
        <w:t>Н.</w:t>
      </w:r>
      <w:r w:rsidR="001F7858" w:rsidRPr="009F57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5A308A" w:rsidRDefault="00D77D77" w:rsidP="005A308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</w:t>
      </w:r>
      <w:r w:rsidR="009F5784">
        <w:t>рамма учебной дисциплины УПВ.01.</w:t>
      </w:r>
      <w:r w:rsidRPr="00DF3B26">
        <w:t xml:space="preserve">Родная литература является частью ППССЗ по специальности </w:t>
      </w:r>
      <w:r w:rsidR="005A308A">
        <w:t>15.02.07 Автоматизация технологических процессов и производств.</w:t>
      </w:r>
    </w:p>
    <w:p w:rsidR="00D77D77" w:rsidRPr="00DF3B26" w:rsidRDefault="00D77D77" w:rsidP="005A308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  <w:rPr>
          <w:color w:val="000000"/>
          <w:kern w:val="0"/>
        </w:rPr>
      </w:pPr>
      <w:r w:rsidRPr="00DF3B26">
        <w:t>Рабочая программа учебной дисциплины УПВ.01 Родная литература может быть использована</w:t>
      </w:r>
      <w:r w:rsidRPr="00DF3B26">
        <w:rPr>
          <w:b/>
        </w:rPr>
        <w:t xml:space="preserve"> </w:t>
      </w:r>
      <w:r w:rsidRPr="00DF3B26">
        <w:t>для профессий СПО технического профиля.</w:t>
      </w:r>
      <w:r w:rsidRPr="00DF3B26">
        <w:rPr>
          <w:color w:val="000000"/>
        </w:rPr>
        <w:t xml:space="preserve"> </w:t>
      </w:r>
      <w:r w:rsidRPr="00DF3B26">
        <w:rPr>
          <w:color w:val="000000"/>
          <w:kern w:val="0"/>
        </w:rPr>
        <w:t xml:space="preserve">Рабочая программа </w:t>
      </w:r>
      <w:r w:rsidRPr="00DF3B26">
        <w:t>учебной дисциплины УПВ.01 Родная литература</w:t>
      </w:r>
      <w:r w:rsidRPr="00DF3B26">
        <w:rPr>
          <w:color w:val="000000"/>
          <w:kern w:val="0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84" w:rsidRDefault="009F5784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A308A">
        <w:rPr>
          <w:rFonts w:ascii="Times New Roman" w:eastAsia="Times New Roman" w:hAnsi="Times New Roman" w:cs="Times New Roman"/>
          <w:sz w:val="24"/>
          <w:szCs w:val="24"/>
          <w:u w:val="single"/>
        </w:rPr>
        <w:t>44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9F57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</w:t>
      </w:r>
      <w:r w:rsidR="005A30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7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08A" w:rsidRDefault="005A308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5A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5A308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9F5784" w:rsidP="005A3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5A308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5A308A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5A308A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9F578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AB035E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AB035E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9" w:type="dxa"/>
            <w:gridSpan w:val="3"/>
          </w:tcPr>
          <w:p w:rsidR="00696AE2" w:rsidRPr="00DA571A" w:rsidRDefault="00696AE2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A30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696AE2" w:rsidRPr="00DA571A" w:rsidTr="00AB035E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9" w:type="dxa"/>
            <w:gridSpan w:val="3"/>
          </w:tcPr>
          <w:p w:rsidR="00696AE2" w:rsidRPr="00DA571A" w:rsidRDefault="009F57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5A308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696AE2" w:rsidRPr="00DA571A" w:rsidTr="00AB035E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29" w:type="dxa"/>
            <w:gridSpan w:val="3"/>
          </w:tcPr>
          <w:p w:rsidR="00696AE2" w:rsidRPr="00DA571A" w:rsidRDefault="009F57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9F578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5A3FFE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5A3FFE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5A3FFE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5A3FFE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5A3FFE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5A3FFE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5A3FFE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5A3FFE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5A3FFE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5A3FFE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5A3FFE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C1202" w:rsidRDefault="00DC1202" w:rsidP="009F5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7D77" w:rsidRPr="00241B67" w:rsidRDefault="00D77D77" w:rsidP="00DC12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9F57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УПВ.01. Р</w:t>
      </w:r>
      <w:r w:rsidR="009F57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9F5784" w:rsidRDefault="009F57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</w:t>
      </w:r>
      <w:r w:rsidR="00DC12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4CA" w:rsidRPr="00BE27F0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CF74CA" w:rsidRPr="00E17228" w:rsidRDefault="00CF74CA" w:rsidP="00CF74CA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74CA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F74CA" w:rsidRPr="004F1D72" w:rsidRDefault="00CF74CA" w:rsidP="00CF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74CA" w:rsidRPr="004F1D72" w:rsidRDefault="00CF74CA" w:rsidP="00CF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74CA" w:rsidRPr="00E17228" w:rsidTr="00DD198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CF74CA" w:rsidRDefault="00CF74CA" w:rsidP="00CF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="00CF74C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 w:rsidR="00DC12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писателей: «Библиотека сибирского романа», «Библиотека сибирской поэзии», «Молодая проза Сибири»,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>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13. Перечислите известные  вам фамилии </w:t>
      </w:r>
      <w:proofErr w:type="gramStart"/>
      <w:r w:rsidRPr="007F0422">
        <w:rPr>
          <w:rStyle w:val="c4"/>
          <w:color w:val="000000"/>
        </w:rPr>
        <w:t>сибирских</w:t>
      </w:r>
      <w:proofErr w:type="gramEnd"/>
      <w:r w:rsidRPr="007F0422">
        <w:rPr>
          <w:rStyle w:val="c4"/>
          <w:color w:val="000000"/>
        </w:rPr>
        <w:t xml:space="preserve">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lastRenderedPageBreak/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945E0A" w:rsidRPr="00793F7A" w:rsidRDefault="00945E0A" w:rsidP="00CF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D77D77" w:rsidRDefault="00945E0A" w:rsidP="00CF7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sectPr w:rsidR="00D77D77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A5" w:rsidRDefault="009A1BA5" w:rsidP="009618A0">
      <w:pPr>
        <w:spacing w:after="0" w:line="240" w:lineRule="auto"/>
      </w:pPr>
      <w:r>
        <w:separator/>
      </w:r>
    </w:p>
  </w:endnote>
  <w:endnote w:type="continuationSeparator" w:id="0">
    <w:p w:rsidR="009A1BA5" w:rsidRDefault="009A1BA5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9F5784" w:rsidRDefault="005A3FFE">
        <w:pPr>
          <w:pStyle w:val="a9"/>
          <w:jc w:val="center"/>
        </w:pPr>
        <w:fldSimple w:instr="PAGE   \* MERGEFORMAT">
          <w:r w:rsidR="00687737">
            <w:rPr>
              <w:noProof/>
            </w:rPr>
            <w:t>33</w:t>
          </w:r>
        </w:fldSimple>
      </w:p>
    </w:sdtContent>
  </w:sdt>
  <w:p w:rsidR="009F5784" w:rsidRDefault="009F57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A5" w:rsidRDefault="009A1BA5" w:rsidP="009618A0">
      <w:pPr>
        <w:spacing w:after="0" w:line="240" w:lineRule="auto"/>
      </w:pPr>
      <w:r>
        <w:separator/>
      </w:r>
    </w:p>
  </w:footnote>
  <w:footnote w:type="continuationSeparator" w:id="0">
    <w:p w:rsidR="009A1BA5" w:rsidRDefault="009A1BA5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34"/>
  </w:num>
  <w:num w:numId="3">
    <w:abstractNumId w:val="11"/>
  </w:num>
  <w:num w:numId="4">
    <w:abstractNumId w:val="51"/>
  </w:num>
  <w:num w:numId="5">
    <w:abstractNumId w:val="58"/>
  </w:num>
  <w:num w:numId="6">
    <w:abstractNumId w:val="48"/>
  </w:num>
  <w:num w:numId="7">
    <w:abstractNumId w:val="33"/>
  </w:num>
  <w:num w:numId="8">
    <w:abstractNumId w:val="32"/>
  </w:num>
  <w:num w:numId="9">
    <w:abstractNumId w:val="3"/>
  </w:num>
  <w:num w:numId="10">
    <w:abstractNumId w:val="9"/>
  </w:num>
  <w:num w:numId="11">
    <w:abstractNumId w:val="65"/>
  </w:num>
  <w:num w:numId="12">
    <w:abstractNumId w:val="42"/>
  </w:num>
  <w:num w:numId="13">
    <w:abstractNumId w:val="26"/>
  </w:num>
  <w:num w:numId="14">
    <w:abstractNumId w:val="8"/>
  </w:num>
  <w:num w:numId="15">
    <w:abstractNumId w:val="50"/>
  </w:num>
  <w:num w:numId="16">
    <w:abstractNumId w:val="14"/>
  </w:num>
  <w:num w:numId="17">
    <w:abstractNumId w:val="39"/>
  </w:num>
  <w:num w:numId="18">
    <w:abstractNumId w:val="62"/>
  </w:num>
  <w:num w:numId="19">
    <w:abstractNumId w:val="36"/>
  </w:num>
  <w:num w:numId="20">
    <w:abstractNumId w:val="10"/>
  </w:num>
  <w:num w:numId="21">
    <w:abstractNumId w:val="17"/>
  </w:num>
  <w:num w:numId="22">
    <w:abstractNumId w:val="24"/>
  </w:num>
  <w:num w:numId="23">
    <w:abstractNumId w:val="0"/>
  </w:num>
  <w:num w:numId="24">
    <w:abstractNumId w:val="53"/>
  </w:num>
  <w:num w:numId="25">
    <w:abstractNumId w:val="63"/>
  </w:num>
  <w:num w:numId="26">
    <w:abstractNumId w:val="61"/>
  </w:num>
  <w:num w:numId="27">
    <w:abstractNumId w:val="64"/>
  </w:num>
  <w:num w:numId="28">
    <w:abstractNumId w:val="47"/>
  </w:num>
  <w:num w:numId="29">
    <w:abstractNumId w:val="35"/>
  </w:num>
  <w:num w:numId="30">
    <w:abstractNumId w:val="67"/>
  </w:num>
  <w:num w:numId="31">
    <w:abstractNumId w:val="56"/>
  </w:num>
  <w:num w:numId="32">
    <w:abstractNumId w:val="15"/>
  </w:num>
  <w:num w:numId="33">
    <w:abstractNumId w:val="57"/>
  </w:num>
  <w:num w:numId="34">
    <w:abstractNumId w:val="19"/>
  </w:num>
  <w:num w:numId="35">
    <w:abstractNumId w:val="2"/>
  </w:num>
  <w:num w:numId="36">
    <w:abstractNumId w:val="4"/>
  </w:num>
  <w:num w:numId="37">
    <w:abstractNumId w:val="54"/>
  </w:num>
  <w:num w:numId="38">
    <w:abstractNumId w:val="22"/>
  </w:num>
  <w:num w:numId="39">
    <w:abstractNumId w:val="40"/>
  </w:num>
  <w:num w:numId="40">
    <w:abstractNumId w:val="46"/>
  </w:num>
  <w:num w:numId="41">
    <w:abstractNumId w:val="38"/>
  </w:num>
  <w:num w:numId="42">
    <w:abstractNumId w:val="52"/>
  </w:num>
  <w:num w:numId="43">
    <w:abstractNumId w:val="30"/>
  </w:num>
  <w:num w:numId="44">
    <w:abstractNumId w:val="7"/>
  </w:num>
  <w:num w:numId="45">
    <w:abstractNumId w:val="49"/>
  </w:num>
  <w:num w:numId="46">
    <w:abstractNumId w:val="21"/>
  </w:num>
  <w:num w:numId="47">
    <w:abstractNumId w:val="5"/>
  </w:num>
  <w:num w:numId="48">
    <w:abstractNumId w:val="60"/>
  </w:num>
  <w:num w:numId="49">
    <w:abstractNumId w:val="12"/>
  </w:num>
  <w:num w:numId="50">
    <w:abstractNumId w:val="31"/>
  </w:num>
  <w:num w:numId="51">
    <w:abstractNumId w:val="25"/>
  </w:num>
  <w:num w:numId="52">
    <w:abstractNumId w:val="68"/>
  </w:num>
  <w:num w:numId="53">
    <w:abstractNumId w:val="6"/>
  </w:num>
  <w:num w:numId="54">
    <w:abstractNumId w:val="43"/>
  </w:num>
  <w:num w:numId="55">
    <w:abstractNumId w:val="27"/>
  </w:num>
  <w:num w:numId="56">
    <w:abstractNumId w:val="23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</w:num>
  <w:num w:numId="60">
    <w:abstractNumId w:val="13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16"/>
  </w:num>
  <w:num w:numId="66">
    <w:abstractNumId w:val="45"/>
  </w:num>
  <w:num w:numId="67">
    <w:abstractNumId w:val="66"/>
  </w:num>
  <w:num w:numId="68">
    <w:abstractNumId w:val="44"/>
  </w:num>
  <w:num w:numId="69">
    <w:abstractNumId w:val="4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0C3B57"/>
    <w:rsid w:val="00120F04"/>
    <w:rsid w:val="00194DF6"/>
    <w:rsid w:val="001F7858"/>
    <w:rsid w:val="00253BF0"/>
    <w:rsid w:val="002721FF"/>
    <w:rsid w:val="0027278B"/>
    <w:rsid w:val="002B4115"/>
    <w:rsid w:val="002C3998"/>
    <w:rsid w:val="003A3117"/>
    <w:rsid w:val="00436E83"/>
    <w:rsid w:val="00461629"/>
    <w:rsid w:val="00472B2B"/>
    <w:rsid w:val="004B3E9F"/>
    <w:rsid w:val="004F77CD"/>
    <w:rsid w:val="00531B9B"/>
    <w:rsid w:val="00542A44"/>
    <w:rsid w:val="005A308A"/>
    <w:rsid w:val="005A3FFE"/>
    <w:rsid w:val="005B2BC9"/>
    <w:rsid w:val="00661363"/>
    <w:rsid w:val="006753B7"/>
    <w:rsid w:val="0068773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E3102"/>
    <w:rsid w:val="008F4D09"/>
    <w:rsid w:val="00915508"/>
    <w:rsid w:val="00945E0A"/>
    <w:rsid w:val="009618A0"/>
    <w:rsid w:val="009A1BA5"/>
    <w:rsid w:val="009F5784"/>
    <w:rsid w:val="00A00564"/>
    <w:rsid w:val="00AB035E"/>
    <w:rsid w:val="00B10F4E"/>
    <w:rsid w:val="00B46727"/>
    <w:rsid w:val="00B505D4"/>
    <w:rsid w:val="00B9721A"/>
    <w:rsid w:val="00C36A4E"/>
    <w:rsid w:val="00C47F7D"/>
    <w:rsid w:val="00C655BC"/>
    <w:rsid w:val="00CB71DF"/>
    <w:rsid w:val="00CF74CA"/>
    <w:rsid w:val="00D52622"/>
    <w:rsid w:val="00D77D77"/>
    <w:rsid w:val="00DA571A"/>
    <w:rsid w:val="00DC1202"/>
    <w:rsid w:val="00DE4466"/>
    <w:rsid w:val="00E30AD0"/>
    <w:rsid w:val="00E805C8"/>
    <w:rsid w:val="00F0086C"/>
    <w:rsid w:val="00F072C5"/>
    <w:rsid w:val="00F155A4"/>
    <w:rsid w:val="00F1620D"/>
    <w:rsid w:val="00F57B3C"/>
    <w:rsid w:val="00F73D24"/>
    <w:rsid w:val="00F83A32"/>
    <w:rsid w:val="00F8795B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uiPriority w:val="22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link w:val="afffffff2"/>
    <w:uiPriority w:val="99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  <w:style w:type="character" w:customStyle="1" w:styleId="afffffff2">
    <w:name w:val="Без интервала Знак"/>
    <w:basedOn w:val="a0"/>
    <w:link w:val="afffffff1"/>
    <w:uiPriority w:val="99"/>
    <w:locked/>
    <w:rsid w:val="009F578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11642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23</cp:revision>
  <cp:lastPrinted>2021-02-16T08:23:00Z</cp:lastPrinted>
  <dcterms:created xsi:type="dcterms:W3CDTF">2020-08-26T16:22:00Z</dcterms:created>
  <dcterms:modified xsi:type="dcterms:W3CDTF">2021-02-16T08:26:00Z</dcterms:modified>
</cp:coreProperties>
</file>